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60" w:lineRule="exact"/>
        <w:jc w:val="left"/>
        <w:rPr>
          <w:rFonts w:ascii="宋体" w:hAnsi="宋体" w:cs="宋体"/>
          <w:kern w:val="0"/>
          <w:sz w:val="24"/>
        </w:rPr>
      </w:pPr>
      <w:r>
        <w:rPr>
          <w:rFonts w:ascii="宋体" w:hAnsi="宋体" w:cs="宋体"/>
          <w:b/>
          <w:bCs/>
          <w:kern w:val="0"/>
          <w:sz w:val="24"/>
        </w:rPr>
        <w:t>附件1：</w:t>
      </w:r>
    </w:p>
    <w:p>
      <w:pPr>
        <w:widowControl/>
        <w:spacing w:line="560" w:lineRule="exact"/>
        <w:jc w:val="center"/>
        <w:rPr>
          <w:rFonts w:ascii="宋体" w:hAnsi="宋体" w:cs="宋体"/>
          <w:b/>
          <w:kern w:val="0"/>
          <w:sz w:val="32"/>
          <w:szCs w:val="32"/>
        </w:rPr>
      </w:pPr>
      <w:r>
        <w:rPr>
          <w:rFonts w:ascii="宋体" w:hAnsi="宋体" w:cs="宋体"/>
          <w:b/>
          <w:kern w:val="0"/>
          <w:sz w:val="32"/>
          <w:szCs w:val="32"/>
        </w:rPr>
        <w:t>201</w:t>
      </w:r>
      <w:r>
        <w:rPr>
          <w:rFonts w:hint="eastAsia" w:ascii="宋体" w:hAnsi="宋体" w:cs="宋体"/>
          <w:b/>
          <w:kern w:val="0"/>
          <w:sz w:val="32"/>
          <w:szCs w:val="32"/>
        </w:rPr>
        <w:t>6</w:t>
      </w:r>
      <w:r>
        <w:rPr>
          <w:rFonts w:ascii="宋体" w:hAnsi="宋体" w:cs="宋体"/>
          <w:b/>
          <w:kern w:val="0"/>
          <w:sz w:val="32"/>
          <w:szCs w:val="32"/>
        </w:rPr>
        <w:t>年</w:t>
      </w:r>
      <w:r>
        <w:rPr>
          <w:rFonts w:hint="eastAsia" w:ascii="宋体" w:hAnsi="宋体" w:cs="宋体"/>
          <w:b/>
          <w:kern w:val="0"/>
          <w:sz w:val="32"/>
          <w:szCs w:val="32"/>
        </w:rPr>
        <w:t>浦东新区</w:t>
      </w:r>
      <w:r>
        <w:rPr>
          <w:rFonts w:ascii="宋体" w:hAnsi="宋体" w:cs="宋体"/>
          <w:b/>
          <w:kern w:val="0"/>
          <w:sz w:val="32"/>
          <w:szCs w:val="32"/>
        </w:rPr>
        <w:t>典当行设立</w:t>
      </w:r>
      <w:r>
        <w:rPr>
          <w:rFonts w:hint="eastAsia" w:ascii="宋体" w:hAnsi="宋体" w:cs="宋体"/>
          <w:b/>
          <w:kern w:val="0"/>
          <w:sz w:val="32"/>
          <w:szCs w:val="32"/>
        </w:rPr>
        <w:t>受理</w:t>
      </w:r>
      <w:r>
        <w:rPr>
          <w:rFonts w:ascii="宋体" w:hAnsi="宋体" w:cs="宋体"/>
          <w:b/>
          <w:kern w:val="0"/>
          <w:sz w:val="32"/>
          <w:szCs w:val="32"/>
        </w:rPr>
        <w:t>审批操作办法</w:t>
      </w:r>
    </w:p>
    <w:p>
      <w:pPr>
        <w:widowControl/>
        <w:spacing w:line="560" w:lineRule="exact"/>
        <w:jc w:val="left"/>
        <w:rPr>
          <w:rFonts w:ascii="宋体" w:hAnsi="宋体" w:cs="宋体"/>
          <w:kern w:val="0"/>
          <w:sz w:val="24"/>
        </w:rPr>
      </w:pPr>
    </w:p>
    <w:p>
      <w:pPr>
        <w:widowControl/>
        <w:spacing w:line="560" w:lineRule="exact"/>
        <w:ind w:firstLine="480" w:firstLineChars="200"/>
        <w:jc w:val="left"/>
        <w:rPr>
          <w:rFonts w:ascii="宋体" w:hAnsi="宋体" w:cs="宋体"/>
          <w:kern w:val="0"/>
          <w:sz w:val="24"/>
        </w:rPr>
      </w:pPr>
      <w:r>
        <w:rPr>
          <w:rFonts w:ascii="宋体" w:hAnsi="宋体" w:cs="宋体"/>
          <w:kern w:val="0"/>
          <w:sz w:val="24"/>
        </w:rPr>
        <w:t>为进一步贯彻落实“公开、公平、公正”的</w:t>
      </w:r>
      <w:r>
        <w:rPr>
          <w:rFonts w:hint="eastAsia" w:ascii="宋体" w:hAnsi="宋体" w:cs="宋体"/>
          <w:kern w:val="0"/>
          <w:sz w:val="24"/>
        </w:rPr>
        <w:t>行政审批</w:t>
      </w:r>
      <w:r>
        <w:rPr>
          <w:rFonts w:ascii="宋体" w:hAnsi="宋体" w:cs="宋体"/>
          <w:kern w:val="0"/>
          <w:sz w:val="24"/>
        </w:rPr>
        <w:t>原则，提高行政审批工作效率，确保审批程序的公开</w:t>
      </w:r>
      <w:r>
        <w:rPr>
          <w:rFonts w:hint="eastAsia" w:ascii="宋体" w:hAnsi="宋体" w:cs="宋体"/>
          <w:kern w:val="0"/>
          <w:sz w:val="24"/>
        </w:rPr>
        <w:t>，</w:t>
      </w:r>
      <w:r>
        <w:rPr>
          <w:rFonts w:ascii="宋体" w:hAnsi="宋体" w:cs="宋体"/>
          <w:kern w:val="0"/>
          <w:sz w:val="24"/>
        </w:rPr>
        <w:t>增加审批信息的透明度，根据《行政许可法》、《典当管理办法》和《典当行业监管规定》的有关规定，按照地方商务主管部门履行具体审批、国家商务部进行监督和备案的工作程序，现就</w:t>
      </w:r>
      <w:r>
        <w:rPr>
          <w:rFonts w:hint="eastAsia" w:ascii="宋体" w:hAnsi="宋体" w:cs="宋体"/>
          <w:kern w:val="0"/>
          <w:sz w:val="24"/>
        </w:rPr>
        <w:t>本年度</w:t>
      </w:r>
      <w:r>
        <w:rPr>
          <w:rFonts w:ascii="宋体" w:hAnsi="宋体" w:cs="宋体"/>
          <w:kern w:val="0"/>
          <w:sz w:val="24"/>
        </w:rPr>
        <w:t>本</w:t>
      </w:r>
      <w:r>
        <w:rPr>
          <w:rFonts w:hint="eastAsia" w:ascii="宋体" w:hAnsi="宋体" w:cs="宋体"/>
          <w:kern w:val="0"/>
          <w:sz w:val="24"/>
        </w:rPr>
        <w:t>区</w:t>
      </w:r>
      <w:r>
        <w:rPr>
          <w:rFonts w:ascii="宋体" w:hAnsi="宋体" w:cs="宋体"/>
          <w:kern w:val="0"/>
          <w:sz w:val="24"/>
        </w:rPr>
        <w:t>典当行设立</w:t>
      </w:r>
      <w:r>
        <w:rPr>
          <w:rFonts w:hint="eastAsia" w:ascii="宋体" w:hAnsi="宋体" w:cs="宋体"/>
          <w:kern w:val="0"/>
          <w:sz w:val="24"/>
        </w:rPr>
        <w:t>受理审批</w:t>
      </w:r>
      <w:r>
        <w:rPr>
          <w:rFonts w:ascii="宋体" w:hAnsi="宋体" w:cs="宋体"/>
          <w:kern w:val="0"/>
          <w:sz w:val="24"/>
        </w:rPr>
        <w:t>有关事项规定如下：</w:t>
      </w:r>
    </w:p>
    <w:p>
      <w:pPr>
        <w:widowControl/>
        <w:spacing w:line="560" w:lineRule="exact"/>
        <w:ind w:firstLine="472" w:firstLineChars="196"/>
        <w:jc w:val="left"/>
        <w:rPr>
          <w:rFonts w:ascii="宋体" w:hAnsi="宋体" w:cs="宋体"/>
          <w:kern w:val="0"/>
          <w:sz w:val="24"/>
        </w:rPr>
      </w:pPr>
      <w:r>
        <w:rPr>
          <w:rFonts w:ascii="宋体" w:hAnsi="宋体" w:cs="宋体"/>
          <w:b/>
          <w:bCs/>
          <w:kern w:val="0"/>
          <w:sz w:val="24"/>
        </w:rPr>
        <w:t>一、审核原则</w:t>
      </w:r>
    </w:p>
    <w:p>
      <w:pPr>
        <w:widowControl/>
        <w:spacing w:line="560" w:lineRule="exact"/>
        <w:ind w:firstLine="480" w:firstLineChars="200"/>
        <w:jc w:val="left"/>
        <w:rPr>
          <w:rFonts w:ascii="宋体" w:hAnsi="宋体" w:cs="宋体"/>
          <w:kern w:val="0"/>
          <w:sz w:val="24"/>
        </w:rPr>
      </w:pPr>
      <w:r>
        <w:rPr>
          <w:rFonts w:ascii="宋体" w:hAnsi="宋体" w:cs="宋体"/>
          <w:kern w:val="0"/>
          <w:sz w:val="24"/>
        </w:rPr>
        <w:t>1、新</w:t>
      </w:r>
      <w:r>
        <w:rPr>
          <w:rFonts w:hint="eastAsia" w:ascii="宋体" w:hAnsi="宋体" w:cs="宋体"/>
          <w:kern w:val="0"/>
          <w:sz w:val="24"/>
        </w:rPr>
        <w:t>设</w:t>
      </w:r>
      <w:r>
        <w:rPr>
          <w:rFonts w:ascii="宋体" w:hAnsi="宋体" w:cs="宋体"/>
          <w:kern w:val="0"/>
          <w:sz w:val="24"/>
        </w:rPr>
        <w:t>典当行申报实行统筹规划、合理布局、鼓励连锁、便于管控的原则。新设典当</w:t>
      </w:r>
      <w:r>
        <w:rPr>
          <w:rFonts w:hint="eastAsia" w:ascii="宋体" w:hAnsi="宋体" w:cs="宋体"/>
          <w:kern w:val="0"/>
          <w:sz w:val="24"/>
        </w:rPr>
        <w:t>行</w:t>
      </w:r>
      <w:r>
        <w:rPr>
          <w:rFonts w:ascii="宋体" w:hAnsi="宋体" w:cs="宋体"/>
          <w:kern w:val="0"/>
          <w:sz w:val="24"/>
        </w:rPr>
        <w:t>分支机构占用新增额度。</w:t>
      </w:r>
    </w:p>
    <w:p>
      <w:pPr>
        <w:widowControl/>
        <w:spacing w:line="560" w:lineRule="exact"/>
        <w:ind w:firstLine="480" w:firstLineChars="200"/>
        <w:jc w:val="left"/>
        <w:rPr>
          <w:rFonts w:ascii="宋体" w:hAnsi="宋体" w:cs="宋体"/>
          <w:kern w:val="0"/>
          <w:sz w:val="24"/>
        </w:rPr>
      </w:pPr>
      <w:r>
        <w:rPr>
          <w:rFonts w:ascii="宋体" w:hAnsi="宋体" w:cs="宋体"/>
          <w:kern w:val="0"/>
          <w:sz w:val="24"/>
        </w:rPr>
        <w:t>2、按照申请正式受理的时间先后排序。在</w:t>
      </w:r>
      <w:r>
        <w:rPr>
          <w:rFonts w:hint="eastAsia" w:ascii="宋体" w:hAnsi="宋体" w:cs="宋体"/>
          <w:kern w:val="0"/>
          <w:sz w:val="24"/>
        </w:rPr>
        <w:t>市商务委统筹</w:t>
      </w:r>
      <w:r>
        <w:rPr>
          <w:rFonts w:ascii="宋体" w:hAnsi="宋体" w:cs="宋体"/>
          <w:kern w:val="0"/>
          <w:sz w:val="24"/>
        </w:rPr>
        <w:t>额度内，受理在先的优先审核。如受理在先的申请不符合要求的，由排列在后的依次递补，直至额满为止。</w:t>
      </w:r>
    </w:p>
    <w:p>
      <w:pPr>
        <w:widowControl/>
        <w:spacing w:line="560" w:lineRule="exact"/>
        <w:ind w:firstLine="480" w:firstLineChars="200"/>
        <w:jc w:val="left"/>
        <w:rPr>
          <w:rFonts w:ascii="宋体" w:hAnsi="宋体" w:cs="宋体"/>
          <w:kern w:val="0"/>
          <w:sz w:val="24"/>
        </w:rPr>
      </w:pPr>
      <w:r>
        <w:rPr>
          <w:rFonts w:ascii="宋体" w:hAnsi="宋体" w:cs="宋体"/>
          <w:kern w:val="0"/>
          <w:sz w:val="24"/>
        </w:rPr>
        <w:t>3、加强部门合作。由市</w:t>
      </w:r>
      <w:r>
        <w:rPr>
          <w:rFonts w:hint="eastAsia" w:ascii="宋体" w:hAnsi="宋体" w:cs="宋体"/>
          <w:kern w:val="0"/>
          <w:sz w:val="24"/>
        </w:rPr>
        <w:t>、区</w:t>
      </w:r>
      <w:r>
        <w:rPr>
          <w:rFonts w:ascii="宋体" w:hAnsi="宋体" w:cs="宋体"/>
          <w:kern w:val="0"/>
          <w:sz w:val="24"/>
        </w:rPr>
        <w:t>商务委会同市</w:t>
      </w:r>
      <w:r>
        <w:rPr>
          <w:rFonts w:hint="eastAsia" w:ascii="宋体" w:hAnsi="宋体" w:cs="宋体"/>
          <w:kern w:val="0"/>
          <w:sz w:val="24"/>
        </w:rPr>
        <w:t>、区</w:t>
      </w:r>
      <w:r>
        <w:rPr>
          <w:rFonts w:ascii="宋体" w:hAnsi="宋体" w:cs="宋体"/>
          <w:kern w:val="0"/>
          <w:sz w:val="24"/>
        </w:rPr>
        <w:t>公安局治安管理部门和上海典当行业协会联合进行现场受理；初审之后，对拟同意设立的申请材料，</w:t>
      </w:r>
      <w:r>
        <w:rPr>
          <w:rFonts w:hint="eastAsia" w:ascii="宋体" w:hAnsi="宋体" w:cs="宋体"/>
          <w:kern w:val="0"/>
          <w:sz w:val="24"/>
        </w:rPr>
        <w:t>联合</w:t>
      </w:r>
      <w:r>
        <w:rPr>
          <w:rFonts w:ascii="宋体" w:hAnsi="宋体" w:cs="宋体"/>
          <w:kern w:val="0"/>
          <w:sz w:val="24"/>
        </w:rPr>
        <w:t>有关部门复审，并</w:t>
      </w:r>
      <w:r>
        <w:rPr>
          <w:rFonts w:hint="eastAsia" w:ascii="宋体" w:hAnsi="宋体" w:cs="宋体"/>
          <w:kern w:val="0"/>
          <w:sz w:val="24"/>
        </w:rPr>
        <w:t>接受</w:t>
      </w:r>
      <w:r>
        <w:rPr>
          <w:rFonts w:ascii="宋体" w:hAnsi="宋体" w:cs="宋体"/>
          <w:kern w:val="0"/>
          <w:sz w:val="24"/>
        </w:rPr>
        <w:t>商务部进行抽查。</w:t>
      </w:r>
    </w:p>
    <w:p>
      <w:pPr>
        <w:widowControl/>
        <w:spacing w:line="560" w:lineRule="exact"/>
        <w:ind w:firstLine="472" w:firstLineChars="196"/>
        <w:jc w:val="left"/>
        <w:rPr>
          <w:rFonts w:ascii="宋体" w:hAnsi="宋体" w:cs="宋体"/>
          <w:kern w:val="0"/>
          <w:sz w:val="24"/>
        </w:rPr>
      </w:pPr>
      <w:r>
        <w:rPr>
          <w:rFonts w:ascii="宋体" w:hAnsi="宋体" w:cs="宋体"/>
          <w:b/>
          <w:bCs/>
          <w:kern w:val="0"/>
          <w:sz w:val="24"/>
        </w:rPr>
        <w:t>二、</w:t>
      </w:r>
      <w:r>
        <w:rPr>
          <w:rFonts w:hint="eastAsia" w:ascii="宋体" w:hAnsi="宋体" w:cs="宋体"/>
          <w:b/>
          <w:bCs/>
          <w:kern w:val="0"/>
          <w:sz w:val="24"/>
        </w:rPr>
        <w:t>受理及审核程序</w:t>
      </w:r>
    </w:p>
    <w:p>
      <w:pPr>
        <w:widowControl/>
        <w:spacing w:line="560" w:lineRule="exact"/>
        <w:ind w:firstLine="480" w:firstLineChars="200"/>
        <w:jc w:val="left"/>
        <w:rPr>
          <w:rFonts w:ascii="宋体" w:hAnsi="宋体" w:cs="宋体"/>
          <w:kern w:val="0"/>
          <w:sz w:val="24"/>
        </w:rPr>
      </w:pPr>
      <w:r>
        <w:rPr>
          <w:rFonts w:ascii="宋体" w:hAnsi="宋体" w:cs="宋体"/>
          <w:kern w:val="0"/>
          <w:sz w:val="24"/>
        </w:rPr>
        <w:t>1、</w:t>
      </w:r>
      <w:r>
        <w:rPr>
          <w:rFonts w:hint="eastAsia" w:ascii="宋体" w:hAnsi="宋体" w:cs="宋体"/>
          <w:kern w:val="0"/>
          <w:sz w:val="24"/>
        </w:rPr>
        <w:t>上海浦东网站（www.pudong.gov.cn</w:t>
      </w:r>
      <w:r>
        <w:rPr>
          <w:rFonts w:ascii="宋体" w:hAnsi="宋体" w:cs="宋体"/>
          <w:kern w:val="0"/>
          <w:sz w:val="24"/>
        </w:rPr>
        <w:t>）</w:t>
      </w:r>
      <w:r>
        <w:rPr>
          <w:rFonts w:hint="eastAsia" w:ascii="宋体" w:hAnsi="宋体" w:cs="宋体"/>
          <w:kern w:val="0"/>
          <w:sz w:val="24"/>
        </w:rPr>
        <w:t>和自贸试验区门户网站(www.china-shftz.gov.cn)</w:t>
      </w:r>
      <w:r>
        <w:rPr>
          <w:rFonts w:ascii="宋体" w:hAnsi="宋体" w:cs="宋体"/>
          <w:kern w:val="0"/>
          <w:sz w:val="24"/>
        </w:rPr>
        <w:t>上发布</w:t>
      </w:r>
      <w:r>
        <w:rPr>
          <w:rFonts w:hint="eastAsia" w:ascii="宋体" w:hAnsi="宋体" w:cs="宋体"/>
          <w:kern w:val="0"/>
          <w:sz w:val="24"/>
        </w:rPr>
        <w:t>本年度</w:t>
      </w:r>
      <w:r>
        <w:rPr>
          <w:rFonts w:ascii="宋体" w:hAnsi="宋体" w:cs="宋体"/>
          <w:kern w:val="0"/>
          <w:sz w:val="24"/>
        </w:rPr>
        <w:t>典当行设立申请相关的条件、标准和材料要求</w:t>
      </w:r>
      <w:r>
        <w:rPr>
          <w:rFonts w:hint="eastAsia" w:ascii="宋体" w:hAnsi="宋体" w:cs="宋体"/>
          <w:kern w:val="0"/>
          <w:sz w:val="24"/>
        </w:rPr>
        <w:t>。</w:t>
      </w:r>
    </w:p>
    <w:p>
      <w:pPr>
        <w:widowControl/>
        <w:spacing w:line="560" w:lineRule="exact"/>
        <w:ind w:firstLine="480" w:firstLineChars="200"/>
        <w:jc w:val="left"/>
        <w:rPr>
          <w:rFonts w:ascii="宋体" w:hAnsi="宋体" w:cs="宋体"/>
          <w:kern w:val="0"/>
          <w:sz w:val="24"/>
        </w:rPr>
      </w:pPr>
      <w:r>
        <w:rPr>
          <w:rFonts w:ascii="宋体" w:hAnsi="宋体" w:cs="宋体"/>
          <w:kern w:val="0"/>
          <w:sz w:val="24"/>
        </w:rPr>
        <w:t>2、接收申请材料时，由申报人亲自签名排序，并当日上网公示，确保排序情况公开透明。至受理截止日，或接受申请材料数量达</w:t>
      </w:r>
      <w:r>
        <w:rPr>
          <w:rFonts w:hint="eastAsia" w:ascii="宋体" w:hAnsi="宋体" w:cs="宋体"/>
          <w:kern w:val="0"/>
          <w:sz w:val="24"/>
        </w:rPr>
        <w:t>到市商务委统筹的额度</w:t>
      </w:r>
      <w:r>
        <w:rPr>
          <w:rFonts w:ascii="宋体" w:hAnsi="宋体" w:cs="宋体"/>
          <w:kern w:val="0"/>
          <w:sz w:val="24"/>
        </w:rPr>
        <w:t>时，</w:t>
      </w:r>
      <w:r>
        <w:rPr>
          <w:rFonts w:hint="eastAsia" w:ascii="宋体" w:hAnsi="宋体" w:cs="宋体"/>
          <w:kern w:val="0"/>
          <w:sz w:val="24"/>
        </w:rPr>
        <w:t>在上海浦东</w:t>
      </w:r>
      <w:r>
        <w:rPr>
          <w:rFonts w:ascii="宋体" w:hAnsi="宋体" w:cs="宋体"/>
          <w:kern w:val="0"/>
          <w:sz w:val="24"/>
        </w:rPr>
        <w:t>网站上发布截止办理典当行设立申请的通知</w:t>
      </w:r>
      <w:r>
        <w:rPr>
          <w:rFonts w:hint="eastAsia" w:ascii="宋体" w:hAnsi="宋体" w:cs="宋体"/>
          <w:kern w:val="0"/>
          <w:sz w:val="24"/>
        </w:rPr>
        <w:t>。</w:t>
      </w:r>
    </w:p>
    <w:p>
      <w:pPr>
        <w:widowControl/>
        <w:spacing w:line="560" w:lineRule="exact"/>
        <w:ind w:firstLine="480" w:firstLineChars="200"/>
        <w:jc w:val="left"/>
        <w:rPr>
          <w:rFonts w:ascii="宋体" w:hAnsi="宋体" w:cs="宋体"/>
          <w:kern w:val="0"/>
          <w:sz w:val="24"/>
        </w:rPr>
      </w:pPr>
      <w:r>
        <w:rPr>
          <w:rFonts w:hint="eastAsia" w:ascii="宋体" w:hAnsi="宋体" w:cs="宋体"/>
          <w:kern w:val="0"/>
          <w:sz w:val="24"/>
        </w:rPr>
        <w:t>3、</w:t>
      </w:r>
      <w:r>
        <w:rPr>
          <w:rFonts w:ascii="宋体" w:hAnsi="宋体" w:cs="宋体"/>
          <w:kern w:val="0"/>
          <w:sz w:val="24"/>
        </w:rPr>
        <w:t>收到申请材料后，当场对申请材料进行形式审核。经审核，申请材料齐全并符合格式要求的，正式受理，按时间顺序进入电脑排序。经审核，申请材料不齐全或不符合有关要求的，当场退回材料，补正后重新排队。</w:t>
      </w:r>
    </w:p>
    <w:p>
      <w:pPr>
        <w:widowControl/>
        <w:spacing w:line="560" w:lineRule="exact"/>
        <w:ind w:firstLine="480" w:firstLineChars="200"/>
        <w:jc w:val="left"/>
        <w:rPr>
          <w:rFonts w:ascii="宋体" w:hAnsi="宋体" w:cs="宋体"/>
          <w:kern w:val="0"/>
          <w:sz w:val="24"/>
        </w:rPr>
      </w:pPr>
      <w:r>
        <w:rPr>
          <w:rFonts w:hint="eastAsia" w:ascii="宋体" w:hAnsi="宋体" w:cs="宋体"/>
          <w:kern w:val="0"/>
          <w:sz w:val="24"/>
        </w:rPr>
        <w:t>4、</w:t>
      </w:r>
      <w:r>
        <w:rPr>
          <w:rFonts w:ascii="宋体" w:hAnsi="宋体" w:cs="宋体"/>
          <w:kern w:val="0"/>
          <w:sz w:val="24"/>
        </w:rPr>
        <w:t>从受理截止日起，在15个工作日内，对受理的申请材料实质内容进行</w:t>
      </w:r>
      <w:r>
        <w:rPr>
          <w:rFonts w:hint="eastAsia" w:ascii="宋体" w:hAnsi="宋体" w:cs="宋体"/>
          <w:kern w:val="0"/>
          <w:sz w:val="24"/>
        </w:rPr>
        <w:t>复</w:t>
      </w:r>
      <w:r>
        <w:rPr>
          <w:rFonts w:ascii="宋体" w:hAnsi="宋体" w:cs="宋体"/>
          <w:kern w:val="0"/>
          <w:sz w:val="24"/>
        </w:rPr>
        <w:t>审。经审核，申请材料实质内容不符合条件的，不予通过，并退回申请材料。审批通过的企业名单在上网公示无异议后，正式公告。</w:t>
      </w:r>
    </w:p>
    <w:p>
      <w:pPr>
        <w:widowControl/>
        <w:spacing w:line="560" w:lineRule="exact"/>
        <w:ind w:firstLine="470" w:firstLineChars="196"/>
        <w:jc w:val="left"/>
        <w:rPr>
          <w:rFonts w:ascii="宋体" w:hAnsi="宋体" w:cs="宋体"/>
          <w:kern w:val="0"/>
          <w:sz w:val="24"/>
        </w:rPr>
      </w:pPr>
      <w:r>
        <w:rPr>
          <w:rFonts w:hint="eastAsia" w:ascii="宋体" w:hAnsi="宋体" w:cs="宋体"/>
          <w:kern w:val="0"/>
          <w:sz w:val="24"/>
        </w:rPr>
        <w:t>三</w:t>
      </w:r>
      <w:r>
        <w:rPr>
          <w:rFonts w:ascii="宋体" w:hAnsi="宋体" w:cs="宋体"/>
          <w:b/>
          <w:bCs/>
          <w:kern w:val="0"/>
          <w:sz w:val="24"/>
        </w:rPr>
        <w:t>、设立典当行应当具备的条件</w:t>
      </w:r>
    </w:p>
    <w:p>
      <w:pPr>
        <w:widowControl/>
        <w:spacing w:line="560" w:lineRule="exact"/>
        <w:ind w:firstLine="480" w:firstLineChars="200"/>
        <w:jc w:val="left"/>
        <w:rPr>
          <w:rFonts w:ascii="宋体" w:hAnsi="宋体" w:cs="宋体"/>
          <w:kern w:val="0"/>
          <w:sz w:val="24"/>
        </w:rPr>
      </w:pPr>
      <w:r>
        <w:rPr>
          <w:rFonts w:ascii="宋体" w:hAnsi="宋体" w:cs="宋体"/>
          <w:kern w:val="0"/>
          <w:sz w:val="24"/>
        </w:rPr>
        <w:t>(一)有符合法律、法规规定的章程。</w:t>
      </w:r>
    </w:p>
    <w:p>
      <w:pPr>
        <w:widowControl/>
        <w:spacing w:line="560" w:lineRule="exact"/>
        <w:ind w:firstLine="480" w:firstLineChars="200"/>
        <w:jc w:val="left"/>
        <w:rPr>
          <w:rFonts w:ascii="宋体" w:hAnsi="宋体" w:cs="宋体"/>
          <w:kern w:val="0"/>
          <w:sz w:val="24"/>
        </w:rPr>
      </w:pPr>
      <w:r>
        <w:rPr>
          <w:rFonts w:ascii="宋体" w:hAnsi="宋体" w:cs="宋体"/>
          <w:kern w:val="0"/>
          <w:sz w:val="24"/>
        </w:rPr>
        <w:t>(二)注册资本达到本次申办要求。</w:t>
      </w:r>
    </w:p>
    <w:p>
      <w:pPr>
        <w:widowControl/>
        <w:spacing w:line="560" w:lineRule="exact"/>
        <w:ind w:firstLine="480" w:firstLineChars="200"/>
        <w:jc w:val="left"/>
        <w:rPr>
          <w:rFonts w:ascii="宋体" w:hAnsi="宋体" w:cs="宋体"/>
          <w:kern w:val="0"/>
          <w:sz w:val="24"/>
        </w:rPr>
      </w:pPr>
      <w:r>
        <w:rPr>
          <w:rFonts w:ascii="宋体" w:hAnsi="宋体" w:cs="宋体"/>
          <w:kern w:val="0"/>
          <w:sz w:val="24"/>
        </w:rPr>
        <w:t>(三)有符合要求的营业场所。</w:t>
      </w:r>
    </w:p>
    <w:p>
      <w:pPr>
        <w:widowControl/>
        <w:spacing w:line="560" w:lineRule="exact"/>
        <w:ind w:firstLine="480" w:firstLineChars="200"/>
        <w:jc w:val="left"/>
        <w:rPr>
          <w:rFonts w:ascii="宋体" w:hAnsi="宋体" w:cs="宋体"/>
          <w:kern w:val="0"/>
          <w:sz w:val="24"/>
        </w:rPr>
      </w:pPr>
      <w:r>
        <w:rPr>
          <w:rFonts w:ascii="宋体" w:hAnsi="宋体" w:cs="宋体"/>
          <w:kern w:val="0"/>
          <w:sz w:val="24"/>
        </w:rPr>
        <w:t>1、面积不低于150平方米；</w:t>
      </w:r>
    </w:p>
    <w:p>
      <w:pPr>
        <w:widowControl/>
        <w:spacing w:line="560" w:lineRule="exact"/>
        <w:ind w:firstLine="480" w:firstLineChars="200"/>
        <w:jc w:val="left"/>
        <w:rPr>
          <w:rFonts w:ascii="宋体" w:hAnsi="宋体" w:cs="宋体"/>
          <w:kern w:val="0"/>
          <w:sz w:val="24"/>
        </w:rPr>
      </w:pPr>
      <w:r>
        <w:rPr>
          <w:rFonts w:ascii="宋体" w:hAnsi="宋体" w:cs="宋体"/>
          <w:kern w:val="0"/>
          <w:sz w:val="24"/>
        </w:rPr>
        <w:t>2、自有产权或租期在3年以上的商业用房；</w:t>
      </w:r>
    </w:p>
    <w:p>
      <w:pPr>
        <w:widowControl/>
        <w:spacing w:line="560" w:lineRule="exact"/>
        <w:ind w:firstLine="480" w:firstLineChars="200"/>
        <w:jc w:val="left"/>
        <w:rPr>
          <w:rFonts w:ascii="宋体" w:hAnsi="宋体" w:cs="宋体"/>
          <w:kern w:val="0"/>
          <w:sz w:val="24"/>
        </w:rPr>
      </w:pPr>
      <w:r>
        <w:rPr>
          <w:rFonts w:ascii="宋体" w:hAnsi="宋体" w:cs="宋体"/>
          <w:kern w:val="0"/>
          <w:sz w:val="24"/>
        </w:rPr>
        <w:t>3、能按照治安有关要求装修并配备必要的设施(营业、防盗、监控、消防等设施)。</w:t>
      </w:r>
    </w:p>
    <w:p>
      <w:pPr>
        <w:widowControl/>
        <w:spacing w:line="560" w:lineRule="exact"/>
        <w:ind w:firstLine="480" w:firstLineChars="200"/>
        <w:jc w:val="left"/>
        <w:rPr>
          <w:rFonts w:ascii="宋体" w:hAnsi="宋体" w:cs="宋体"/>
          <w:kern w:val="0"/>
          <w:sz w:val="24"/>
        </w:rPr>
      </w:pPr>
      <w:r>
        <w:rPr>
          <w:rFonts w:ascii="宋体" w:hAnsi="宋体" w:cs="宋体"/>
          <w:kern w:val="0"/>
          <w:sz w:val="24"/>
        </w:rPr>
        <w:t>(四)有熟悉典当业务的经营管理人员及鉴定评估人员。</w:t>
      </w:r>
    </w:p>
    <w:p>
      <w:pPr>
        <w:widowControl/>
        <w:spacing w:line="560" w:lineRule="exact"/>
        <w:ind w:firstLine="480" w:firstLineChars="200"/>
        <w:jc w:val="left"/>
        <w:rPr>
          <w:rFonts w:ascii="宋体" w:hAnsi="宋体" w:cs="宋体"/>
          <w:kern w:val="0"/>
          <w:sz w:val="24"/>
        </w:rPr>
      </w:pPr>
      <w:r>
        <w:rPr>
          <w:rFonts w:ascii="宋体" w:hAnsi="宋体" w:cs="宋体"/>
          <w:kern w:val="0"/>
          <w:sz w:val="24"/>
        </w:rPr>
        <w:t>1、具有不少于2名的民品鉴定评估人员；</w:t>
      </w:r>
    </w:p>
    <w:p>
      <w:pPr>
        <w:widowControl/>
        <w:spacing w:line="560" w:lineRule="exact"/>
        <w:ind w:firstLine="480" w:firstLineChars="200"/>
        <w:jc w:val="left"/>
        <w:rPr>
          <w:rFonts w:ascii="宋体" w:hAnsi="宋体" w:cs="宋体"/>
          <w:kern w:val="0"/>
          <w:sz w:val="24"/>
        </w:rPr>
      </w:pPr>
      <w:r>
        <w:rPr>
          <w:rFonts w:ascii="宋体" w:hAnsi="宋体" w:cs="宋体"/>
          <w:kern w:val="0"/>
          <w:sz w:val="24"/>
        </w:rPr>
        <w:t>2、从事房地产典当的具有不少于2名的房地产相关资质人员；</w:t>
      </w:r>
    </w:p>
    <w:p>
      <w:pPr>
        <w:widowControl/>
        <w:spacing w:line="560" w:lineRule="exact"/>
        <w:ind w:firstLine="480" w:firstLineChars="200"/>
        <w:jc w:val="left"/>
        <w:rPr>
          <w:rFonts w:ascii="宋体" w:hAnsi="宋体" w:cs="宋体"/>
          <w:kern w:val="0"/>
          <w:sz w:val="24"/>
        </w:rPr>
      </w:pPr>
      <w:r>
        <w:rPr>
          <w:rFonts w:ascii="宋体" w:hAnsi="宋体" w:cs="宋体"/>
          <w:kern w:val="0"/>
          <w:sz w:val="24"/>
        </w:rPr>
        <w:t>3、从事财产权利典当的具有不少于2名的财产权利相关资质人员。</w:t>
      </w:r>
    </w:p>
    <w:p>
      <w:pPr>
        <w:widowControl/>
        <w:spacing w:line="560" w:lineRule="exact"/>
        <w:ind w:firstLine="480" w:firstLineChars="200"/>
        <w:jc w:val="left"/>
        <w:rPr>
          <w:rFonts w:ascii="宋体" w:hAnsi="宋体" w:cs="宋体"/>
          <w:kern w:val="0"/>
          <w:sz w:val="24"/>
        </w:rPr>
      </w:pPr>
      <w:r>
        <w:rPr>
          <w:rFonts w:ascii="宋体" w:hAnsi="宋体" w:cs="宋体"/>
          <w:kern w:val="0"/>
          <w:sz w:val="24"/>
        </w:rPr>
        <w:t>(五) 有不少于2个的具备投资能力的法人股东，法人股东股权比例合计超过50%，且最大单个股东为法人股东。股东股权最小不低于</w:t>
      </w:r>
      <w:r>
        <w:rPr>
          <w:rFonts w:hint="eastAsia" w:ascii="宋体" w:hAnsi="宋体" w:cs="宋体"/>
          <w:kern w:val="0"/>
          <w:sz w:val="24"/>
        </w:rPr>
        <w:t>5</w:t>
      </w:r>
      <w:r>
        <w:rPr>
          <w:rFonts w:ascii="宋体" w:hAnsi="宋体" w:cs="宋体"/>
          <w:kern w:val="0"/>
          <w:sz w:val="24"/>
        </w:rPr>
        <w:t>%。不同法人股东不得由同一人兼任法人代表；法人股东</w:t>
      </w:r>
      <w:r>
        <w:rPr>
          <w:rFonts w:hint="eastAsia" w:ascii="宋体" w:hAnsi="宋体" w:cs="宋体"/>
          <w:kern w:val="0"/>
          <w:sz w:val="24"/>
        </w:rPr>
        <w:t>投资者</w:t>
      </w:r>
      <w:r>
        <w:rPr>
          <w:rFonts w:ascii="宋体" w:hAnsi="宋体" w:cs="宋体"/>
          <w:kern w:val="0"/>
          <w:sz w:val="24"/>
        </w:rPr>
        <w:t>不得与自然人股东</w:t>
      </w:r>
      <w:r>
        <w:rPr>
          <w:rFonts w:hint="eastAsia" w:ascii="宋体" w:hAnsi="宋体" w:cs="宋体"/>
          <w:kern w:val="0"/>
          <w:sz w:val="24"/>
        </w:rPr>
        <w:t>及其他</w:t>
      </w:r>
      <w:r>
        <w:rPr>
          <w:rFonts w:ascii="宋体" w:hAnsi="宋体" w:cs="宋体"/>
          <w:kern w:val="0"/>
          <w:sz w:val="24"/>
        </w:rPr>
        <w:t>法人股东</w:t>
      </w:r>
      <w:r>
        <w:rPr>
          <w:rFonts w:hint="eastAsia" w:ascii="宋体" w:hAnsi="宋体" w:cs="宋体"/>
          <w:kern w:val="0"/>
          <w:sz w:val="24"/>
        </w:rPr>
        <w:t>的投资者</w:t>
      </w:r>
      <w:r>
        <w:rPr>
          <w:rFonts w:ascii="宋体" w:hAnsi="宋体" w:cs="宋体"/>
          <w:kern w:val="0"/>
          <w:sz w:val="24"/>
        </w:rPr>
        <w:t>关联。对法人股东具体要求：</w:t>
      </w:r>
    </w:p>
    <w:p>
      <w:pPr>
        <w:widowControl/>
        <w:spacing w:line="560" w:lineRule="exact"/>
        <w:ind w:firstLine="480" w:firstLineChars="200"/>
        <w:jc w:val="left"/>
        <w:rPr>
          <w:rFonts w:ascii="宋体" w:hAnsi="宋体" w:cs="宋体"/>
          <w:kern w:val="0"/>
          <w:sz w:val="24"/>
        </w:rPr>
      </w:pPr>
      <w:r>
        <w:rPr>
          <w:rFonts w:ascii="宋体" w:hAnsi="宋体" w:cs="宋体"/>
          <w:kern w:val="0"/>
          <w:sz w:val="24"/>
        </w:rPr>
        <w:t>1、成立满3年且近2年来连续赢利；具备以货币出资形式履行出资承诺的投资能力和投资资格，入股资金为自有资本，来源</w:t>
      </w:r>
      <w:r>
        <w:rPr>
          <w:rFonts w:hint="eastAsia" w:ascii="宋体" w:hAnsi="宋体" w:cs="宋体"/>
          <w:kern w:val="0"/>
          <w:sz w:val="24"/>
        </w:rPr>
        <w:t>真实</w:t>
      </w:r>
      <w:r>
        <w:rPr>
          <w:rFonts w:ascii="宋体" w:hAnsi="宋体" w:cs="宋体"/>
          <w:kern w:val="0"/>
          <w:sz w:val="24"/>
        </w:rPr>
        <w:t>合法，不得以借贷资金或他人委托资金入股;一年内未增资，或增资前已具备相应的投资典当行能力；</w:t>
      </w:r>
    </w:p>
    <w:p>
      <w:pPr>
        <w:widowControl/>
        <w:spacing w:line="560" w:lineRule="exact"/>
        <w:ind w:firstLine="480" w:firstLineChars="200"/>
        <w:jc w:val="left"/>
        <w:rPr>
          <w:rFonts w:ascii="宋体" w:hAnsi="宋体" w:cs="宋体"/>
          <w:kern w:val="0"/>
          <w:sz w:val="24"/>
        </w:rPr>
      </w:pPr>
      <w:r>
        <w:rPr>
          <w:rFonts w:ascii="宋体" w:hAnsi="宋体" w:cs="宋体"/>
          <w:kern w:val="0"/>
          <w:sz w:val="24"/>
        </w:rPr>
        <w:t>2、出资额小于其流动资产与流动负债的差额，且在其净资产额以内；</w:t>
      </w:r>
    </w:p>
    <w:p>
      <w:pPr>
        <w:widowControl/>
        <w:spacing w:line="560" w:lineRule="exact"/>
        <w:ind w:firstLine="480" w:firstLineChars="200"/>
        <w:jc w:val="left"/>
        <w:rPr>
          <w:rFonts w:ascii="宋体" w:hAnsi="宋体" w:cs="宋体"/>
          <w:kern w:val="0"/>
          <w:sz w:val="24"/>
        </w:rPr>
      </w:pPr>
      <w:r>
        <w:rPr>
          <w:rFonts w:ascii="宋体" w:hAnsi="宋体" w:cs="宋体"/>
          <w:kern w:val="0"/>
          <w:sz w:val="24"/>
        </w:rPr>
        <w:t>3、权益性投资余额（包括本次投资）不超过其净资产的50%；</w:t>
      </w:r>
    </w:p>
    <w:p>
      <w:pPr>
        <w:widowControl/>
        <w:spacing w:line="560" w:lineRule="exact"/>
        <w:ind w:firstLine="480" w:firstLineChars="200"/>
        <w:jc w:val="left"/>
        <w:rPr>
          <w:rFonts w:ascii="宋体" w:hAnsi="宋体" w:cs="宋体"/>
          <w:kern w:val="0"/>
          <w:sz w:val="24"/>
        </w:rPr>
      </w:pPr>
      <w:r>
        <w:rPr>
          <w:rFonts w:ascii="宋体" w:hAnsi="宋体" w:cs="宋体"/>
          <w:kern w:val="0"/>
          <w:sz w:val="24"/>
        </w:rPr>
        <w:t>4、净资产不低于其资产总额的50%，其中房地产开发、担保、投资类企业需净资产不低于其资产总额的80%;融资担保性担保公司投资典当行应当按照《融资性担保公司管理暂行办法》有关规定执行；</w:t>
      </w:r>
    </w:p>
    <w:p>
      <w:pPr>
        <w:widowControl/>
        <w:spacing w:line="560" w:lineRule="exact"/>
        <w:ind w:firstLine="480" w:firstLineChars="200"/>
        <w:jc w:val="left"/>
        <w:rPr>
          <w:rFonts w:ascii="宋体" w:hAnsi="宋体" w:cs="宋体"/>
          <w:kern w:val="0"/>
          <w:sz w:val="24"/>
        </w:rPr>
      </w:pPr>
      <w:r>
        <w:rPr>
          <w:rFonts w:ascii="宋体" w:hAnsi="宋体" w:cs="宋体"/>
          <w:kern w:val="0"/>
          <w:sz w:val="24"/>
        </w:rPr>
        <w:t>5、主营业务收入持续正常；</w:t>
      </w:r>
    </w:p>
    <w:p>
      <w:pPr>
        <w:widowControl/>
        <w:spacing w:line="560" w:lineRule="exact"/>
        <w:ind w:firstLine="480" w:firstLineChars="200"/>
        <w:jc w:val="left"/>
        <w:rPr>
          <w:rFonts w:ascii="宋体" w:hAnsi="宋体" w:cs="宋体"/>
          <w:kern w:val="0"/>
          <w:sz w:val="24"/>
        </w:rPr>
      </w:pPr>
      <w:r>
        <w:rPr>
          <w:rFonts w:ascii="宋体" w:hAnsi="宋体" w:cs="宋体"/>
          <w:kern w:val="0"/>
          <w:sz w:val="24"/>
        </w:rPr>
        <w:t>6、不得个人独资；涉及国有资本对外投资的应当符合国有资产管理等相关规定。</w:t>
      </w:r>
    </w:p>
    <w:p>
      <w:pPr>
        <w:widowControl/>
        <w:spacing w:line="560" w:lineRule="exact"/>
        <w:ind w:firstLine="480" w:firstLineChars="200"/>
        <w:jc w:val="left"/>
        <w:rPr>
          <w:rFonts w:ascii="宋体" w:hAnsi="宋体" w:cs="宋体"/>
          <w:kern w:val="0"/>
          <w:sz w:val="24"/>
        </w:rPr>
      </w:pPr>
      <w:r>
        <w:rPr>
          <w:rFonts w:ascii="宋体" w:hAnsi="宋体" w:cs="宋体"/>
          <w:kern w:val="0"/>
          <w:sz w:val="24"/>
        </w:rPr>
        <w:t>(六)对</w:t>
      </w:r>
      <w:r>
        <w:rPr>
          <w:rFonts w:hint="eastAsia" w:ascii="宋体" w:hAnsi="宋体" w:cs="宋体"/>
          <w:kern w:val="0"/>
          <w:sz w:val="24"/>
        </w:rPr>
        <w:t>国内</w:t>
      </w:r>
      <w:r>
        <w:rPr>
          <w:rFonts w:ascii="宋体" w:hAnsi="宋体" w:cs="宋体"/>
          <w:kern w:val="0"/>
          <w:sz w:val="24"/>
        </w:rPr>
        <w:t>自然人股东具体要求：为居住在中国境内年满18周岁以上有完全民事行为能力的中国公民，无犯罪记录和不良信用记录</w:t>
      </w:r>
      <w:r>
        <w:rPr>
          <w:rFonts w:hint="eastAsia" w:ascii="宋体" w:hAnsi="宋体" w:cs="宋体"/>
          <w:kern w:val="0"/>
          <w:sz w:val="24"/>
        </w:rPr>
        <w:t>；</w:t>
      </w:r>
      <w:r>
        <w:rPr>
          <w:rFonts w:ascii="宋体" w:hAnsi="宋体" w:cs="宋体"/>
          <w:kern w:val="0"/>
          <w:sz w:val="24"/>
        </w:rPr>
        <w:t>非公务员；自然人入股资金为自己所有，</w:t>
      </w:r>
      <w:r>
        <w:rPr>
          <w:rFonts w:hint="eastAsia" w:ascii="宋体" w:hAnsi="宋体" w:cs="宋体"/>
          <w:kern w:val="0"/>
          <w:sz w:val="24"/>
        </w:rPr>
        <w:t>或</w:t>
      </w:r>
      <w:r>
        <w:rPr>
          <w:rFonts w:ascii="宋体" w:hAnsi="宋体" w:cs="宋体"/>
          <w:kern w:val="0"/>
          <w:sz w:val="24"/>
        </w:rPr>
        <w:t>来源真实合法</w:t>
      </w:r>
      <w:r>
        <w:rPr>
          <w:rFonts w:hint="eastAsia" w:ascii="宋体" w:hAnsi="宋体" w:cs="宋体"/>
          <w:kern w:val="0"/>
          <w:sz w:val="24"/>
        </w:rPr>
        <w:t>（须附相关收入证明单据）。</w:t>
      </w:r>
      <w:r>
        <w:rPr>
          <w:rFonts w:ascii="宋体" w:hAnsi="宋体" w:cs="宋体"/>
          <w:kern w:val="0"/>
          <w:sz w:val="24"/>
        </w:rPr>
        <w:t>允许外国投资者在自贸试验区投资设立典当企业，设立条件与内资典当企业保持一致</w:t>
      </w:r>
      <w:r>
        <w:rPr>
          <w:rFonts w:hint="eastAsia" w:ascii="宋体" w:hAnsi="宋体" w:cs="宋体"/>
          <w:kern w:val="0"/>
          <w:sz w:val="24"/>
        </w:rPr>
        <w:t>，具体管理办法另行制定。相关资料中需要的无犯罪记录和不良信用记录证明由专业机构出具。</w:t>
      </w:r>
    </w:p>
    <w:p>
      <w:pPr>
        <w:widowControl/>
        <w:spacing w:line="560" w:lineRule="exact"/>
        <w:ind w:firstLine="480" w:firstLineChars="200"/>
        <w:jc w:val="left"/>
        <w:rPr>
          <w:rFonts w:ascii="宋体" w:hAnsi="宋体" w:cs="宋体"/>
          <w:kern w:val="0"/>
          <w:sz w:val="24"/>
        </w:rPr>
      </w:pPr>
      <w:r>
        <w:rPr>
          <w:rFonts w:ascii="宋体" w:hAnsi="宋体" w:cs="宋体"/>
          <w:kern w:val="0"/>
          <w:sz w:val="24"/>
        </w:rPr>
        <w:t>(七)符合《典当管理办法》规定的治安管理要求。</w:t>
      </w:r>
    </w:p>
    <w:p>
      <w:pPr>
        <w:widowControl/>
        <w:spacing w:line="560" w:lineRule="exact"/>
        <w:ind w:firstLine="480" w:firstLineChars="200"/>
        <w:jc w:val="left"/>
        <w:rPr>
          <w:rFonts w:ascii="宋体" w:hAnsi="宋体" w:cs="宋体"/>
          <w:kern w:val="0"/>
          <w:sz w:val="24"/>
        </w:rPr>
      </w:pPr>
      <w:r>
        <w:rPr>
          <w:rFonts w:ascii="宋体" w:hAnsi="宋体" w:cs="宋体"/>
          <w:kern w:val="0"/>
          <w:sz w:val="24"/>
        </w:rPr>
        <w:t>(八)符合本市对典当行统筹规划、合理布局的要求。</w:t>
      </w:r>
    </w:p>
    <w:p>
      <w:pPr>
        <w:widowControl/>
        <w:spacing w:line="560" w:lineRule="exact"/>
        <w:ind w:firstLine="472" w:firstLineChars="196"/>
        <w:jc w:val="left"/>
        <w:rPr>
          <w:rFonts w:ascii="宋体" w:hAnsi="宋体" w:cs="宋体"/>
          <w:kern w:val="0"/>
          <w:sz w:val="24"/>
        </w:rPr>
      </w:pPr>
      <w:r>
        <w:rPr>
          <w:rFonts w:ascii="宋体" w:hAnsi="宋体" w:cs="宋体"/>
          <w:b/>
          <w:bCs/>
          <w:kern w:val="0"/>
          <w:sz w:val="24"/>
        </w:rPr>
        <w:t>五、设立典当行需递交的申报材料</w:t>
      </w:r>
    </w:p>
    <w:p>
      <w:pPr>
        <w:widowControl/>
        <w:spacing w:line="560" w:lineRule="exact"/>
        <w:ind w:firstLine="480" w:firstLineChars="200"/>
        <w:jc w:val="left"/>
        <w:rPr>
          <w:rFonts w:ascii="宋体" w:hAnsi="宋体" w:cs="宋体"/>
          <w:kern w:val="0"/>
          <w:sz w:val="24"/>
        </w:rPr>
      </w:pPr>
      <w:r>
        <w:rPr>
          <w:rFonts w:ascii="宋体" w:hAnsi="宋体" w:cs="宋体"/>
          <w:kern w:val="0"/>
          <w:sz w:val="24"/>
        </w:rPr>
        <w:t>1、设立申请（应当载明拟设立典当行的名称、住所、注册资本、股东结构、法人代表等内容）；</w:t>
      </w:r>
    </w:p>
    <w:p>
      <w:pPr>
        <w:widowControl/>
        <w:spacing w:line="560" w:lineRule="exact"/>
        <w:ind w:firstLine="480" w:firstLineChars="200"/>
        <w:jc w:val="left"/>
        <w:rPr>
          <w:rFonts w:ascii="宋体" w:hAnsi="宋体" w:cs="宋体"/>
          <w:kern w:val="0"/>
          <w:sz w:val="24"/>
        </w:rPr>
      </w:pPr>
      <w:r>
        <w:rPr>
          <w:rFonts w:ascii="宋体" w:hAnsi="宋体" w:cs="宋体"/>
          <w:kern w:val="0"/>
          <w:sz w:val="24"/>
        </w:rPr>
        <w:t>2、出资协议和股东出资承诺书原件（注明入股资金来源真实合法，未以借贷资金或以他人委托资金入股。承诺两年内不转让所持有的典当行股权，不以持有的典当行股权对外质押或提供担保。开业一年内不随意变更经营地址及法人代表）；</w:t>
      </w:r>
    </w:p>
    <w:p>
      <w:pPr>
        <w:widowControl/>
        <w:spacing w:line="560" w:lineRule="exact"/>
        <w:ind w:firstLine="480" w:firstLineChars="200"/>
        <w:jc w:val="left"/>
        <w:rPr>
          <w:rFonts w:ascii="宋体" w:hAnsi="宋体" w:cs="宋体"/>
          <w:kern w:val="0"/>
          <w:sz w:val="24"/>
        </w:rPr>
      </w:pPr>
      <w:r>
        <w:rPr>
          <w:rFonts w:ascii="宋体" w:hAnsi="宋体" w:cs="宋体"/>
          <w:kern w:val="0"/>
          <w:sz w:val="24"/>
        </w:rPr>
        <w:t>3、典当行公司章程、业务规则、内部管理（财务会计、内部审计、安全）制度、安全防范措施及网络上报(财务报表等经营数据报送、当票入网管理、网络维护等)管理制度；</w:t>
      </w:r>
    </w:p>
    <w:p>
      <w:pPr>
        <w:widowControl/>
        <w:spacing w:line="560" w:lineRule="exact"/>
        <w:ind w:firstLine="480" w:firstLineChars="200"/>
        <w:jc w:val="left"/>
        <w:rPr>
          <w:rFonts w:ascii="宋体" w:hAnsi="宋体" w:cs="宋体"/>
          <w:kern w:val="0"/>
          <w:sz w:val="24"/>
        </w:rPr>
      </w:pPr>
      <w:r>
        <w:rPr>
          <w:rFonts w:ascii="宋体" w:hAnsi="宋体" w:cs="宋体"/>
          <w:kern w:val="0"/>
          <w:sz w:val="24"/>
        </w:rPr>
        <w:t>4、会计师事务所</w:t>
      </w:r>
      <w:r>
        <w:rPr>
          <w:rFonts w:hint="eastAsia" w:ascii="宋体" w:hAnsi="宋体" w:cs="宋体"/>
          <w:kern w:val="0"/>
          <w:sz w:val="24"/>
        </w:rPr>
        <w:t>（名单见附件3）</w:t>
      </w:r>
      <w:r>
        <w:rPr>
          <w:rFonts w:ascii="宋体" w:hAnsi="宋体" w:cs="宋体"/>
          <w:kern w:val="0"/>
          <w:sz w:val="24"/>
        </w:rPr>
        <w:t>出具的验资证明原件（应当为股东实缴的货币资本，不包括以实物、工业产权、非专利技术、土地使用权等作价出资的资本。验资证明包括银行询证函复印件、进帐单复印件等银行出具的出资证明，每页加盖会计师事务所公章。资金应当保存在</w:t>
      </w:r>
      <w:r>
        <w:rPr>
          <w:rFonts w:hint="eastAsia" w:ascii="宋体" w:hAnsi="宋体" w:cs="宋体"/>
          <w:kern w:val="0"/>
          <w:sz w:val="24"/>
        </w:rPr>
        <w:t>自主选择</w:t>
      </w:r>
      <w:r>
        <w:rPr>
          <w:rFonts w:ascii="宋体" w:hAnsi="宋体" w:cs="宋体"/>
          <w:kern w:val="0"/>
          <w:sz w:val="24"/>
        </w:rPr>
        <w:t>银行的验资帐户内，直至营业执照办理手续完成）以及全体股东出具的不抽调资金挪作它用承诺书；</w:t>
      </w:r>
    </w:p>
    <w:p>
      <w:pPr>
        <w:widowControl/>
        <w:spacing w:line="560" w:lineRule="exact"/>
        <w:ind w:firstLine="480" w:firstLineChars="200"/>
        <w:jc w:val="left"/>
        <w:rPr>
          <w:rFonts w:ascii="宋体" w:hAnsi="宋体" w:cs="宋体"/>
          <w:kern w:val="0"/>
          <w:sz w:val="24"/>
        </w:rPr>
      </w:pPr>
      <w:r>
        <w:rPr>
          <w:rFonts w:ascii="宋体" w:hAnsi="宋体" w:cs="宋体"/>
          <w:kern w:val="0"/>
          <w:sz w:val="24"/>
        </w:rPr>
        <w:t>5、拟任法定代表人和其他高级管理人员（包括董事、监事、经理及财务负责人）的名录清单；档案所在单位人事部门或流动人员人事档案管理机构出具的拟任法定代表人和其他高级管理人员的简历及有效身份证件复印件；户籍所在地公安部门在近3个月内出具的拟任法定代表人和其他高级管理人员无故意犯罪记录证明；与申请经营范围相适应的专业人员资质证书和身份证复印件，以及双方签字盖章的聘用合同；拟任法定代表人</w:t>
      </w:r>
      <w:r>
        <w:rPr>
          <w:rFonts w:hint="eastAsia" w:ascii="宋体" w:hAnsi="宋体" w:cs="宋体"/>
          <w:kern w:val="0"/>
          <w:sz w:val="24"/>
        </w:rPr>
        <w:t>手机号码等联系方式；</w:t>
      </w:r>
    </w:p>
    <w:p>
      <w:pPr>
        <w:widowControl/>
        <w:spacing w:line="560" w:lineRule="exact"/>
        <w:ind w:firstLine="480" w:firstLineChars="200"/>
        <w:jc w:val="left"/>
        <w:rPr>
          <w:rFonts w:ascii="宋体" w:hAnsi="宋体" w:cs="宋体"/>
          <w:kern w:val="0"/>
          <w:sz w:val="24"/>
        </w:rPr>
      </w:pPr>
      <w:r>
        <w:rPr>
          <w:rFonts w:ascii="宋体" w:hAnsi="宋体" w:cs="宋体"/>
          <w:kern w:val="0"/>
          <w:sz w:val="24"/>
        </w:rPr>
        <w:t>6、会计师事务所出具的法人股东201</w:t>
      </w:r>
      <w:r>
        <w:rPr>
          <w:rFonts w:hint="eastAsia" w:ascii="宋体" w:hAnsi="宋体" w:cs="宋体"/>
          <w:kern w:val="0"/>
          <w:sz w:val="24"/>
        </w:rPr>
        <w:t>4</w:t>
      </w:r>
      <w:r>
        <w:rPr>
          <w:rFonts w:ascii="宋体" w:hAnsi="宋体" w:cs="宋体"/>
          <w:kern w:val="0"/>
          <w:sz w:val="24"/>
        </w:rPr>
        <w:t>年度、201</w:t>
      </w:r>
      <w:r>
        <w:rPr>
          <w:rFonts w:hint="eastAsia" w:ascii="宋体" w:hAnsi="宋体" w:cs="宋体"/>
          <w:kern w:val="0"/>
          <w:sz w:val="24"/>
        </w:rPr>
        <w:t>5</w:t>
      </w:r>
      <w:r>
        <w:rPr>
          <w:rFonts w:ascii="宋体" w:hAnsi="宋体" w:cs="宋体"/>
          <w:kern w:val="0"/>
          <w:sz w:val="24"/>
        </w:rPr>
        <w:t>年度和201</w:t>
      </w:r>
      <w:r>
        <w:rPr>
          <w:rFonts w:hint="eastAsia" w:ascii="宋体" w:hAnsi="宋体" w:cs="宋体"/>
          <w:kern w:val="0"/>
          <w:sz w:val="24"/>
        </w:rPr>
        <w:t>6</w:t>
      </w:r>
      <w:r>
        <w:rPr>
          <w:rFonts w:ascii="宋体" w:hAnsi="宋体" w:cs="宋体"/>
          <w:kern w:val="0"/>
          <w:sz w:val="24"/>
        </w:rPr>
        <w:t>年1</w:t>
      </w:r>
      <w:r>
        <w:rPr>
          <w:rFonts w:hint="eastAsia" w:ascii="宋体" w:hAnsi="宋体" w:cs="宋体"/>
          <w:kern w:val="0"/>
          <w:sz w:val="24"/>
        </w:rPr>
        <w:t>2</w:t>
      </w:r>
      <w:r>
        <w:rPr>
          <w:rFonts w:ascii="宋体" w:hAnsi="宋体" w:cs="宋体"/>
          <w:kern w:val="0"/>
          <w:sz w:val="24"/>
        </w:rPr>
        <w:t>月底的财务审计报告原件（包括资产负债表、利润表、现金流量表、所有者权益变动表、会计报表附注等等，每页加盖会计师事务所公章;企业利润和实际纳税应与向税务部门上报的所得税申报表相一致）及截至201</w:t>
      </w:r>
      <w:r>
        <w:rPr>
          <w:rFonts w:hint="eastAsia" w:ascii="宋体" w:hAnsi="宋体" w:cs="宋体"/>
          <w:kern w:val="0"/>
          <w:sz w:val="24"/>
        </w:rPr>
        <w:t>6</w:t>
      </w:r>
      <w:r>
        <w:rPr>
          <w:rFonts w:ascii="宋体" w:hAnsi="宋体" w:cs="宋体"/>
          <w:kern w:val="0"/>
          <w:sz w:val="24"/>
        </w:rPr>
        <w:t>年1</w:t>
      </w:r>
      <w:r>
        <w:rPr>
          <w:rFonts w:hint="eastAsia" w:ascii="宋体" w:hAnsi="宋体" w:cs="宋体"/>
          <w:kern w:val="0"/>
          <w:sz w:val="24"/>
        </w:rPr>
        <w:t>2</w:t>
      </w:r>
      <w:r>
        <w:rPr>
          <w:rFonts w:ascii="宋体" w:hAnsi="宋体" w:cs="宋体"/>
          <w:kern w:val="0"/>
          <w:sz w:val="24"/>
        </w:rPr>
        <w:t>月底的出资能力证明（要求注明：截至201</w:t>
      </w:r>
      <w:r>
        <w:rPr>
          <w:rFonts w:hint="eastAsia" w:ascii="宋体" w:hAnsi="宋体" w:cs="宋体"/>
          <w:kern w:val="0"/>
          <w:sz w:val="24"/>
        </w:rPr>
        <w:t>6</w:t>
      </w:r>
      <w:r>
        <w:rPr>
          <w:rFonts w:ascii="宋体" w:hAnsi="宋体" w:cs="宋体"/>
          <w:kern w:val="0"/>
          <w:sz w:val="24"/>
        </w:rPr>
        <w:t>年1</w:t>
      </w:r>
      <w:r>
        <w:rPr>
          <w:rFonts w:hint="eastAsia" w:ascii="宋体" w:hAnsi="宋体" w:cs="宋体"/>
          <w:kern w:val="0"/>
          <w:sz w:val="24"/>
        </w:rPr>
        <w:t>2</w:t>
      </w:r>
      <w:r>
        <w:rPr>
          <w:rFonts w:ascii="宋体" w:hAnsi="宋体" w:cs="宋体"/>
          <w:kern w:val="0"/>
          <w:sz w:val="24"/>
        </w:rPr>
        <w:t>月3</w:t>
      </w:r>
      <w:r>
        <w:rPr>
          <w:rFonts w:hint="eastAsia" w:ascii="宋体" w:hAnsi="宋体" w:cs="宋体"/>
          <w:kern w:val="0"/>
          <w:sz w:val="24"/>
        </w:rPr>
        <w:t>1</w:t>
      </w:r>
      <w:r>
        <w:rPr>
          <w:rFonts w:ascii="宋体" w:hAnsi="宋体" w:cs="宋体"/>
          <w:kern w:val="0"/>
          <w:sz w:val="24"/>
        </w:rPr>
        <w:t>日，拟投资设立典当</w:t>
      </w:r>
      <w:r>
        <w:rPr>
          <w:rFonts w:hint="eastAsia" w:ascii="宋体" w:hAnsi="宋体" w:cs="宋体"/>
          <w:kern w:val="0"/>
          <w:sz w:val="24"/>
        </w:rPr>
        <w:t>行</w:t>
      </w:r>
      <w:r>
        <w:rPr>
          <w:rFonts w:ascii="宋体" w:hAnsi="宋体" w:cs="宋体"/>
          <w:kern w:val="0"/>
          <w:sz w:val="24"/>
        </w:rPr>
        <w:t>的资金已体现在资产负债表货币资金科目</w:t>
      </w:r>
      <w:r>
        <w:rPr>
          <w:rFonts w:hint="eastAsia" w:ascii="宋体" w:hAnsi="宋体" w:cs="宋体"/>
          <w:kern w:val="0"/>
          <w:sz w:val="24"/>
        </w:rPr>
        <w:t>中</w:t>
      </w:r>
      <w:r>
        <w:rPr>
          <w:rFonts w:ascii="宋体" w:hAnsi="宋体" w:cs="宋体"/>
          <w:kern w:val="0"/>
          <w:sz w:val="24"/>
        </w:rPr>
        <w:t>；出资额小于流动资产与流动负债的差额；权益性投资余额</w:t>
      </w:r>
      <w:r>
        <w:rPr>
          <w:rFonts w:hint="eastAsia" w:ascii="宋体" w:hAnsi="宋体" w:cs="宋体"/>
          <w:kern w:val="0"/>
          <w:sz w:val="24"/>
        </w:rPr>
        <w:t>（包括本次投资）</w:t>
      </w:r>
      <w:r>
        <w:rPr>
          <w:rFonts w:ascii="宋体" w:hAnsi="宋体" w:cs="宋体"/>
          <w:kern w:val="0"/>
          <w:sz w:val="24"/>
        </w:rPr>
        <w:t>不超过本企业净资产的50%，净资产不低于资产总额的50%，其中房地产开发、担保、投资类企业需净资产不低于资产总额的80%;主营业务收入持续正常，且收入与税收缴纳相一致；一年内未增资或增资前已具备相应投资典当行资质）；</w:t>
      </w:r>
    </w:p>
    <w:p>
      <w:pPr>
        <w:widowControl/>
        <w:spacing w:line="560" w:lineRule="exact"/>
        <w:ind w:firstLine="480" w:firstLineChars="200"/>
        <w:jc w:val="left"/>
        <w:rPr>
          <w:rFonts w:ascii="宋体" w:hAnsi="宋体" w:cs="宋体"/>
          <w:kern w:val="0"/>
          <w:sz w:val="24"/>
        </w:rPr>
      </w:pPr>
      <w:r>
        <w:rPr>
          <w:rFonts w:ascii="宋体" w:hAnsi="宋体" w:cs="宋体"/>
          <w:kern w:val="0"/>
          <w:sz w:val="24"/>
        </w:rPr>
        <w:t>7、法人股东的股东会（</w:t>
      </w:r>
      <w:r>
        <w:rPr>
          <w:rFonts w:hint="eastAsia" w:ascii="宋体" w:hAnsi="宋体" w:cs="宋体"/>
          <w:kern w:val="0"/>
          <w:sz w:val="24"/>
        </w:rPr>
        <w:t>或</w:t>
      </w:r>
      <w:r>
        <w:rPr>
          <w:rFonts w:ascii="宋体" w:hAnsi="宋体" w:cs="宋体"/>
          <w:kern w:val="0"/>
          <w:sz w:val="24"/>
        </w:rPr>
        <w:t>董事会）决议及工商营业执照正副本复印件（有效期距申请材料报至市商务委的日期3年以上</w:t>
      </w:r>
      <w:r>
        <w:rPr>
          <w:rFonts w:hint="eastAsia" w:ascii="宋体" w:hAnsi="宋体" w:cs="宋体"/>
          <w:kern w:val="0"/>
          <w:sz w:val="24"/>
        </w:rPr>
        <w:t>，提供全国企业信用信息公示系统纸质打印件</w:t>
      </w:r>
      <w:r>
        <w:rPr>
          <w:rFonts w:ascii="宋体" w:hAnsi="宋体" w:cs="宋体"/>
          <w:kern w:val="0"/>
          <w:sz w:val="24"/>
        </w:rPr>
        <w:t>）和工商行政管理部门出具的法人股东的企业股东结构</w:t>
      </w:r>
      <w:r>
        <w:rPr>
          <w:rFonts w:hint="eastAsia" w:ascii="宋体" w:hAnsi="宋体" w:cs="宋体"/>
          <w:kern w:val="0"/>
          <w:sz w:val="24"/>
        </w:rPr>
        <w:t>（档案机读材料）</w:t>
      </w:r>
      <w:r>
        <w:rPr>
          <w:rFonts w:ascii="宋体" w:hAnsi="宋体" w:cs="宋体"/>
          <w:kern w:val="0"/>
          <w:sz w:val="24"/>
        </w:rPr>
        <w:t xml:space="preserve">； </w:t>
      </w:r>
      <w:r>
        <w:rPr>
          <w:rFonts w:hint="eastAsia" w:ascii="宋体" w:hAnsi="宋体" w:cs="宋体"/>
          <w:kern w:val="0"/>
          <w:sz w:val="24"/>
        </w:rPr>
        <w:t>2016年度</w:t>
      </w:r>
      <w:r>
        <w:rPr>
          <w:rFonts w:ascii="宋体" w:hAnsi="宋体" w:cs="宋体"/>
          <w:kern w:val="0"/>
          <w:sz w:val="24"/>
        </w:rPr>
        <w:t>基本户开户银行出具的资信证明和税务部门出具的纳税证明；</w:t>
      </w:r>
      <w:r>
        <w:rPr>
          <w:rFonts w:hint="eastAsia" w:ascii="宋体" w:hAnsi="宋体" w:cs="宋体"/>
          <w:kern w:val="0"/>
          <w:sz w:val="24"/>
        </w:rPr>
        <w:t>法人股东的法人代表身份证复印件和联系电话；</w:t>
      </w:r>
    </w:p>
    <w:p>
      <w:pPr>
        <w:widowControl/>
        <w:spacing w:line="560" w:lineRule="exact"/>
        <w:ind w:firstLine="480" w:firstLineChars="200"/>
        <w:jc w:val="left"/>
        <w:rPr>
          <w:rFonts w:ascii="宋体" w:hAnsi="宋体" w:cs="宋体"/>
          <w:kern w:val="0"/>
          <w:sz w:val="24"/>
        </w:rPr>
      </w:pPr>
      <w:r>
        <w:rPr>
          <w:rFonts w:ascii="宋体" w:hAnsi="宋体" w:cs="宋体"/>
          <w:kern w:val="0"/>
          <w:sz w:val="24"/>
        </w:rPr>
        <w:t>8、</w:t>
      </w:r>
      <w:r>
        <w:rPr>
          <w:rFonts w:hint="eastAsia" w:ascii="宋体" w:hAnsi="宋体" w:cs="宋体"/>
          <w:kern w:val="0"/>
          <w:sz w:val="24"/>
        </w:rPr>
        <w:t>具备法定资质的</w:t>
      </w:r>
      <w:r>
        <w:rPr>
          <w:rFonts w:ascii="宋体" w:hAnsi="宋体" w:cs="宋体"/>
          <w:kern w:val="0"/>
          <w:sz w:val="24"/>
        </w:rPr>
        <w:t>律师事务所出具的自然人投资资质法律意见书。主要包括：符合自有且合法要求的入股资金来源证明（主要指：与入股资金相匹配的个人所得税税单及个人财产变卖所得相关证明等）；户籍所在地公安部门在近3个月内出具的无犯罪记录证明；无不良信用记录证明及无重大债务和诉讼证明；档案所在单位人事部门或流动人员人事档案管理机构出具的简历及有效身份证件复印件等；</w:t>
      </w:r>
    </w:p>
    <w:p>
      <w:pPr>
        <w:widowControl/>
        <w:spacing w:line="560" w:lineRule="exact"/>
        <w:ind w:firstLine="480" w:firstLineChars="200"/>
        <w:jc w:val="left"/>
        <w:rPr>
          <w:rFonts w:ascii="宋体" w:hAnsi="宋体" w:cs="宋体"/>
          <w:kern w:val="0"/>
          <w:sz w:val="24"/>
        </w:rPr>
      </w:pPr>
      <w:r>
        <w:rPr>
          <w:rFonts w:ascii="宋体" w:hAnsi="宋体" w:cs="宋体"/>
          <w:kern w:val="0"/>
          <w:sz w:val="24"/>
        </w:rPr>
        <w:t>9、符合要求的营业场所的所有权或者使用权的有效证明文件复印件（承租或者拨付使用期限在3年以上，产权证上载明商业用途，租赁合同上载明用于某典当行经营）；配备设施证明材料（包括符合治安要求的装修合同、设计图纸、设备设施清单等）和全体股东出具的依申请材料进行装修的承诺书，承诺书中还应承诺开业时按照全国和上海典当行业监督管理信息系统入网要求，安装相应计算机及网络设备，配备相应人员，按时报送各项经营数据和财务报表；</w:t>
      </w:r>
    </w:p>
    <w:p>
      <w:pPr>
        <w:widowControl/>
        <w:spacing w:line="560" w:lineRule="exact"/>
        <w:ind w:firstLine="480" w:firstLineChars="200"/>
        <w:jc w:val="left"/>
        <w:rPr>
          <w:rFonts w:ascii="宋体" w:hAnsi="宋体" w:cs="宋体"/>
          <w:kern w:val="0"/>
          <w:sz w:val="24"/>
        </w:rPr>
      </w:pPr>
      <w:r>
        <w:rPr>
          <w:rFonts w:ascii="宋体" w:hAnsi="宋体" w:cs="宋体"/>
          <w:kern w:val="0"/>
          <w:sz w:val="24"/>
        </w:rPr>
        <w:t>10、工商行政管理机关核发的</w:t>
      </w:r>
      <w:r>
        <w:rPr>
          <w:rFonts w:hint="eastAsia" w:ascii="宋体" w:hAnsi="宋体" w:cs="宋体"/>
          <w:kern w:val="0"/>
          <w:sz w:val="24"/>
        </w:rPr>
        <w:t>且在有效期内的</w:t>
      </w:r>
      <w:r>
        <w:rPr>
          <w:rFonts w:ascii="宋体" w:hAnsi="宋体" w:cs="宋体"/>
          <w:kern w:val="0"/>
          <w:sz w:val="24"/>
        </w:rPr>
        <w:t>《企业名称预先核准通知书》，企业名称</w:t>
      </w:r>
      <w:r>
        <w:rPr>
          <w:rFonts w:hint="eastAsia" w:ascii="宋体" w:hAnsi="宋体" w:cs="宋体"/>
          <w:kern w:val="0"/>
          <w:sz w:val="24"/>
        </w:rPr>
        <w:t>中应当含有“</w:t>
      </w:r>
      <w:r>
        <w:rPr>
          <w:rFonts w:ascii="宋体" w:hAnsi="宋体" w:cs="宋体"/>
          <w:kern w:val="0"/>
          <w:sz w:val="24"/>
        </w:rPr>
        <w:t>典当”</w:t>
      </w:r>
      <w:r>
        <w:rPr>
          <w:rFonts w:hint="eastAsia" w:ascii="宋体" w:hAnsi="宋体" w:cs="宋体"/>
          <w:kern w:val="0"/>
          <w:sz w:val="24"/>
        </w:rPr>
        <w:t>字样</w:t>
      </w:r>
      <w:r>
        <w:rPr>
          <w:rFonts w:ascii="宋体" w:hAnsi="宋体" w:cs="宋体"/>
          <w:kern w:val="0"/>
          <w:sz w:val="24"/>
        </w:rPr>
        <w:t>；</w:t>
      </w:r>
    </w:p>
    <w:p>
      <w:pPr>
        <w:widowControl/>
        <w:spacing w:line="560" w:lineRule="exact"/>
        <w:ind w:firstLine="480" w:firstLineChars="200"/>
        <w:jc w:val="left"/>
        <w:rPr>
          <w:rFonts w:ascii="宋体" w:hAnsi="宋体" w:cs="宋体"/>
          <w:kern w:val="0"/>
          <w:sz w:val="24"/>
        </w:rPr>
      </w:pPr>
      <w:r>
        <w:rPr>
          <w:rFonts w:ascii="宋体" w:hAnsi="宋体" w:cs="宋体"/>
          <w:kern w:val="0"/>
          <w:sz w:val="24"/>
        </w:rPr>
        <w:t>11、全体股东出具的所有申请材料均真实可靠并同意接受核查的承诺书</w:t>
      </w:r>
      <w:r>
        <w:rPr>
          <w:rFonts w:hint="eastAsia" w:ascii="宋体" w:hAnsi="宋体" w:cs="宋体"/>
          <w:kern w:val="0"/>
          <w:sz w:val="24"/>
        </w:rPr>
        <w:t>；</w:t>
      </w:r>
    </w:p>
    <w:p>
      <w:pPr>
        <w:widowControl/>
        <w:spacing w:line="560" w:lineRule="exact"/>
        <w:ind w:firstLine="480" w:firstLineChars="200"/>
        <w:jc w:val="left"/>
        <w:rPr>
          <w:rFonts w:ascii="宋体" w:hAnsi="宋体" w:cs="宋体"/>
          <w:kern w:val="0"/>
          <w:sz w:val="24"/>
        </w:rPr>
      </w:pPr>
      <w:r>
        <w:rPr>
          <w:rFonts w:ascii="宋体" w:hAnsi="宋体" w:cs="宋体"/>
          <w:kern w:val="0"/>
          <w:sz w:val="24"/>
        </w:rPr>
        <w:t>12、国有</w:t>
      </w:r>
      <w:r>
        <w:rPr>
          <w:rFonts w:hint="eastAsia" w:ascii="宋体" w:hAnsi="宋体" w:cs="宋体"/>
          <w:kern w:val="0"/>
          <w:sz w:val="24"/>
        </w:rPr>
        <w:t>资本</w:t>
      </w:r>
      <w:r>
        <w:rPr>
          <w:rFonts w:ascii="宋体" w:hAnsi="宋体" w:cs="宋体"/>
          <w:kern w:val="0"/>
          <w:sz w:val="24"/>
        </w:rPr>
        <w:t>投资典当行的，应提供国有资产相关管理部门关于国有资本投资典当行的承诺函（要求注明：同意国有资本进入典当行；承诺在退出或转让时，须先经商务主管部门审核拟受让候选名单及有关资料后，再报国资委办理相关国资转让手续）</w:t>
      </w:r>
      <w:r>
        <w:rPr>
          <w:rFonts w:hint="eastAsia" w:ascii="宋体" w:hAnsi="宋体" w:cs="宋体"/>
          <w:kern w:val="0"/>
          <w:sz w:val="24"/>
        </w:rPr>
        <w:t>；</w:t>
      </w:r>
    </w:p>
    <w:p>
      <w:pPr>
        <w:widowControl/>
        <w:spacing w:line="560" w:lineRule="exact"/>
        <w:ind w:firstLine="480" w:firstLineChars="200"/>
        <w:jc w:val="left"/>
        <w:rPr>
          <w:rFonts w:ascii="宋体" w:hAnsi="宋体" w:cs="宋体"/>
          <w:kern w:val="0"/>
          <w:sz w:val="24"/>
        </w:rPr>
      </w:pPr>
      <w:r>
        <w:rPr>
          <w:rFonts w:ascii="宋体" w:hAnsi="宋体" w:cs="宋体"/>
          <w:kern w:val="0"/>
          <w:sz w:val="24"/>
        </w:rPr>
        <w:t>13、上市公司投资典当行的，需提供上市公司的承诺函（要求承诺：有义务配合商务主管部门的监督核查，接受对其和下属典当企业之间资金往来情况进行核查，主动提供上市公司与典当业务相关联的报表和材料等）。</w:t>
      </w:r>
    </w:p>
    <w:p>
      <w:pPr>
        <w:widowControl/>
        <w:spacing w:line="560" w:lineRule="exact"/>
        <w:ind w:firstLine="480" w:firstLineChars="200"/>
        <w:jc w:val="left"/>
        <w:rPr>
          <w:rFonts w:ascii="宋体" w:hAnsi="宋体" w:cs="宋体"/>
          <w:kern w:val="0"/>
          <w:sz w:val="24"/>
        </w:rPr>
      </w:pPr>
      <w:r>
        <w:rPr>
          <w:rFonts w:ascii="宋体" w:hAnsi="宋体" w:cs="宋体"/>
          <w:kern w:val="0"/>
          <w:sz w:val="24"/>
        </w:rPr>
        <w:t>申请材料要求真实、准确、项目齐全，相关内容协调一致，符合法定形式。申请材料需按以上顺序用A4纸</w:t>
      </w:r>
      <w:r>
        <w:rPr>
          <w:rFonts w:hint="eastAsia" w:ascii="宋体" w:hAnsi="宋体" w:cs="宋体"/>
          <w:kern w:val="0"/>
          <w:sz w:val="24"/>
        </w:rPr>
        <w:t>装订</w:t>
      </w:r>
      <w:r>
        <w:rPr>
          <w:rFonts w:ascii="宋体" w:hAnsi="宋体" w:cs="宋体"/>
          <w:kern w:val="0"/>
          <w:sz w:val="24"/>
        </w:rPr>
        <w:t>成册</w:t>
      </w:r>
      <w:r>
        <w:rPr>
          <w:rFonts w:hint="eastAsia" w:ascii="宋体" w:hAnsi="宋体" w:cs="宋体"/>
          <w:kern w:val="0"/>
          <w:sz w:val="24"/>
        </w:rPr>
        <w:t>编制页码</w:t>
      </w:r>
      <w:r>
        <w:rPr>
          <w:rFonts w:ascii="宋体" w:hAnsi="宋体" w:cs="宋体"/>
          <w:kern w:val="0"/>
          <w:sz w:val="24"/>
        </w:rPr>
        <w:t>并附上目录。上述注明为复印件的除外，其他材料均</w:t>
      </w:r>
      <w:r>
        <w:rPr>
          <w:rFonts w:hint="eastAsia" w:ascii="宋体" w:hAnsi="宋体" w:cs="宋体"/>
          <w:kern w:val="0"/>
          <w:sz w:val="24"/>
        </w:rPr>
        <w:t>须</w:t>
      </w:r>
      <w:r>
        <w:rPr>
          <w:rFonts w:ascii="宋体" w:hAnsi="宋体" w:cs="宋体"/>
          <w:kern w:val="0"/>
          <w:sz w:val="24"/>
        </w:rPr>
        <w:t>原件。</w:t>
      </w:r>
    </w:p>
    <w:p>
      <w:pPr>
        <w:widowControl/>
        <w:spacing w:line="560" w:lineRule="exact"/>
        <w:ind w:firstLine="472" w:firstLineChars="196"/>
        <w:jc w:val="left"/>
        <w:rPr>
          <w:rFonts w:ascii="宋体" w:hAnsi="宋体" w:cs="宋体"/>
          <w:kern w:val="0"/>
          <w:sz w:val="24"/>
        </w:rPr>
      </w:pPr>
      <w:r>
        <w:rPr>
          <w:rFonts w:ascii="宋体" w:hAnsi="宋体" w:cs="宋体"/>
          <w:b/>
          <w:bCs/>
          <w:kern w:val="0"/>
          <w:sz w:val="24"/>
        </w:rPr>
        <w:t>六、特别告知</w:t>
      </w:r>
    </w:p>
    <w:p>
      <w:r>
        <w:rPr>
          <w:rFonts w:ascii="宋体" w:hAnsi="宋体" w:cs="宋体"/>
          <w:kern w:val="0"/>
          <w:sz w:val="24"/>
        </w:rPr>
        <w:t>　　按照商务部规定，新</w:t>
      </w:r>
      <w:r>
        <w:rPr>
          <w:rFonts w:hint="eastAsia" w:ascii="宋体" w:hAnsi="宋体" w:cs="宋体"/>
          <w:kern w:val="0"/>
          <w:sz w:val="24"/>
        </w:rPr>
        <w:t>设</w:t>
      </w:r>
      <w:r>
        <w:rPr>
          <w:rFonts w:ascii="宋体" w:hAnsi="宋体" w:cs="宋体"/>
          <w:kern w:val="0"/>
          <w:sz w:val="24"/>
        </w:rPr>
        <w:t>典当行实行额度管理。因此，可能出现申办者因递交申请排序在后而未获受理或受理后未获得审批通过的情况。对此产生前期投入的经济损失，申办企业应予以充分认识并自行承担。</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3731719"/>
    <w:rsid w:val="43731719"/>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2017-02-07T06:22:00Z</dcterms:created>
  <dc:creator>张佳文</dc:creator>
  <cp:lastModifiedBy>张佳文</cp:lastModifiedBy>
  <dcterms:modified xsi:type="dcterms:W3CDTF">2017-02-07T06:22:51Z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