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E1C" w:rsidRDefault="00F24E1C">
      <w:pPr>
        <w:spacing w:line="4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4</w:t>
      </w:r>
    </w:p>
    <w:p w:rsidR="00F24E1C" w:rsidRDefault="00F24E1C">
      <w:pPr>
        <w:jc w:val="center"/>
        <w:rPr>
          <w:rFonts w:ascii="黑体" w:eastAsia="黑体" w:hAnsi="宋体"/>
          <w:sz w:val="36"/>
          <w:szCs w:val="36"/>
        </w:rPr>
      </w:pPr>
      <w:r>
        <w:rPr>
          <w:rFonts w:ascii="黑体" w:eastAsia="黑体" w:hAnsi="宋体" w:hint="eastAsia"/>
          <w:sz w:val="36"/>
          <w:szCs w:val="36"/>
        </w:rPr>
        <w:t>辽宁省典当企业年审情况报告</w:t>
      </w:r>
    </w:p>
    <w:p w:rsidR="00F24E1C" w:rsidRDefault="00F24E1C">
      <w:pPr>
        <w:spacing w:line="460" w:lineRule="exact"/>
        <w:jc w:val="center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</w:t>
      </w:r>
      <w:r>
        <w:rPr>
          <w:rFonts w:eastAsia="仿宋_GB2312"/>
          <w:sz w:val="28"/>
        </w:rPr>
        <w:t>2016</w:t>
      </w:r>
      <w:r>
        <w:rPr>
          <w:rFonts w:ascii="仿宋_GB2312" w:eastAsia="仿宋_GB2312" w:hAnsi="宋体" w:hint="eastAsia"/>
          <w:sz w:val="32"/>
          <w:szCs w:val="32"/>
        </w:rPr>
        <w:t>年度）</w:t>
      </w:r>
    </w:p>
    <w:p w:rsidR="00F24E1C" w:rsidRDefault="00F24E1C">
      <w:pPr>
        <w:spacing w:line="40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被年审企业名称：</w:t>
      </w:r>
    </w:p>
    <w:tbl>
      <w:tblPr>
        <w:tblW w:w="9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9"/>
        <w:gridCol w:w="3938"/>
        <w:gridCol w:w="722"/>
        <w:gridCol w:w="541"/>
        <w:gridCol w:w="3427"/>
      </w:tblGrid>
      <w:tr w:rsidR="00F24E1C">
        <w:trPr>
          <w:trHeight w:val="616"/>
        </w:trPr>
        <w:tc>
          <w:tcPr>
            <w:tcW w:w="4437" w:type="dxa"/>
            <w:gridSpan w:val="2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主要事项</w:t>
            </w:r>
          </w:p>
        </w:tc>
        <w:tc>
          <w:tcPr>
            <w:tcW w:w="4690" w:type="dxa"/>
            <w:gridSpan w:val="3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年审情况</w:t>
            </w:r>
          </w:p>
        </w:tc>
      </w:tr>
      <w:tr w:rsidR="00F24E1C">
        <w:trPr>
          <w:trHeight w:val="521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序号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内容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是</w:t>
            </w: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否</w:t>
            </w: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具体情况及金额</w:t>
            </w:r>
          </w:p>
        </w:tc>
      </w:tr>
      <w:tr w:rsidR="00F24E1C">
        <w:trPr>
          <w:trHeight w:val="463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400" w:lineRule="exact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是否有虚假出资、抽逃资金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69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400" w:lineRule="exact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净资产是否低于注册资本的</w:t>
            </w:r>
            <w:r>
              <w:rPr>
                <w:rFonts w:eastAsia="仿宋_GB2312"/>
                <w:szCs w:val="21"/>
              </w:rPr>
              <w:t>90</w:t>
            </w:r>
            <w:r>
              <w:rPr>
                <w:rFonts w:eastAsia="仿宋_GB2312" w:hint="eastAsia"/>
                <w:szCs w:val="21"/>
              </w:rPr>
              <w:t>％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90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400" w:lineRule="exact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分支机构运营资金是否拨付到位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82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400" w:lineRule="exact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分支机构是否独立核算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88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400" w:lineRule="exact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是否存在向商业银行之外的机构融资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64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是否有境外资金流入典当企业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8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7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是否有非法集资、吸收或者变相吸收存款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8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是否从其他单位或个人借款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84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9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是否从本市以外商业银行贷款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10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240" w:lineRule="atLeas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银行贷款是否超过注册资本金或所有者权益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11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240" w:lineRule="atLeas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典当企业对其股东的典当余额是否超过该股东的入股金额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12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240" w:lineRule="atLeas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典当企业是否与股东有资金往来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13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240" w:lineRule="atLeas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控股股东为上市公司的，上市募集资金是否违规进入典当企业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14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240" w:lineRule="atLeas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财产权利质押典当余额是否超过注册资本的</w:t>
            </w:r>
            <w:r>
              <w:rPr>
                <w:rFonts w:eastAsia="仿宋_GB2312"/>
                <w:szCs w:val="21"/>
              </w:rPr>
              <w:t>50%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15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240" w:lineRule="atLeas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是否有以证券交易账户资产为质押的典当业务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16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240" w:lineRule="atLeas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房地产抵押典当余额是否超过注册资本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17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240" w:lineRule="atLeas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对同一法人或者自然人的典当余额是否超过注册资本的</w:t>
            </w:r>
            <w:r>
              <w:rPr>
                <w:rFonts w:eastAsia="仿宋_GB2312"/>
                <w:szCs w:val="21"/>
              </w:rPr>
              <w:t>25</w:t>
            </w:r>
            <w:r>
              <w:rPr>
                <w:rFonts w:eastAsia="仿宋_GB2312" w:hint="eastAsia"/>
                <w:szCs w:val="21"/>
              </w:rPr>
              <w:t>％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18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240" w:lineRule="atLeas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房地产抵押典当单笔当金是否有超过注册资本</w:t>
            </w:r>
            <w:r>
              <w:rPr>
                <w:rFonts w:eastAsia="仿宋_GB2312"/>
                <w:szCs w:val="21"/>
              </w:rPr>
              <w:t>10%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19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是否超范围经营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是否销售非绝当物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21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是否有对外投资或购买理财产品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22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是否有营业外收入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23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240" w:lineRule="atLeas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三万元以上绝当物溢价是否返还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7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24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240" w:lineRule="atLeas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绝当物品估价金额</w:t>
            </w:r>
            <w:r>
              <w:rPr>
                <w:rFonts w:ascii="仿宋_GB2312" w:eastAsia="仿宋_GB2312" w:hAnsi="宋体"/>
                <w:szCs w:val="21"/>
              </w:rPr>
              <w:t>(</w:t>
            </w:r>
            <w:r>
              <w:rPr>
                <w:rFonts w:ascii="仿宋_GB2312" w:eastAsia="仿宋_GB2312" w:hAnsi="宋体" w:hint="eastAsia"/>
                <w:szCs w:val="21"/>
              </w:rPr>
              <w:t>非当金金额</w:t>
            </w:r>
            <w:r>
              <w:rPr>
                <w:rFonts w:ascii="仿宋_GB2312" w:eastAsia="仿宋_GB2312" w:hAnsi="宋体"/>
                <w:szCs w:val="21"/>
              </w:rPr>
              <w:t>)</w:t>
            </w:r>
            <w:r>
              <w:rPr>
                <w:rFonts w:ascii="仿宋_GB2312" w:eastAsia="仿宋_GB2312" w:hAnsi="宋体" w:hint="eastAsia"/>
                <w:szCs w:val="21"/>
              </w:rPr>
              <w:t>在</w:t>
            </w:r>
            <w:r>
              <w:rPr>
                <w:rFonts w:ascii="仿宋_GB2312" w:eastAsia="仿宋_GB2312" w:hAnsi="宋体"/>
                <w:szCs w:val="21"/>
              </w:rPr>
              <w:t>3</w:t>
            </w:r>
            <w:r>
              <w:rPr>
                <w:rFonts w:ascii="仿宋_GB2312" w:eastAsia="仿宋_GB2312" w:hAnsi="宋体" w:hint="eastAsia"/>
                <w:szCs w:val="21"/>
              </w:rPr>
              <w:t>万元以上的，是否按照双方协议处理或依法拍卖、变卖当物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25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240" w:lineRule="atLeas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拍卖收入在扣除拍卖费用及当金本息后，剩余部分是否退还当户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26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240" w:lineRule="atLeas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是否按规定开具了全国统一当票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27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240" w:lineRule="atLeas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是否按规定机打当票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28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240" w:lineRule="atLeas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是否发现以合同替代当票和“帐外挂帐”现象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29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当票填写是否完整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30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是否存在使用过期当票或自行印制当票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31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开具的当票、续当凭证与真实的质、抵押典当业务是否相对应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32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是否有预扣当金利息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33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利率及综合费率收取是否超过规定范围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34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eastAsia="仿宋_GB2312" w:hint="eastAsia"/>
                <w:szCs w:val="21"/>
              </w:rPr>
              <w:t>现金管理是否符合《现金管理暂行条例》和《人民银行结算账户管理办法》（重点披露</w:t>
            </w:r>
            <w:r>
              <w:rPr>
                <w:rFonts w:eastAsia="仿宋_GB2312"/>
                <w:szCs w:val="21"/>
              </w:rPr>
              <w:t>1</w:t>
            </w:r>
            <w:r>
              <w:rPr>
                <w:rFonts w:eastAsia="仿宋_GB2312" w:hint="eastAsia"/>
                <w:szCs w:val="21"/>
              </w:rPr>
              <w:t>、是否发现典当企业存在将现金存入个人账户的现象；</w:t>
            </w:r>
            <w:r>
              <w:rPr>
                <w:rFonts w:eastAsia="仿宋_GB2312"/>
                <w:szCs w:val="21"/>
              </w:rPr>
              <w:t>2</w:t>
            </w:r>
            <w:r>
              <w:rPr>
                <w:rFonts w:eastAsia="仿宋_GB2312" w:hint="eastAsia"/>
                <w:szCs w:val="21"/>
              </w:rPr>
              <w:t>、典当企业现金余额；</w:t>
            </w:r>
            <w:r>
              <w:rPr>
                <w:rFonts w:eastAsia="仿宋_GB2312"/>
                <w:szCs w:val="21"/>
              </w:rPr>
              <w:t>3</w:t>
            </w:r>
            <w:r>
              <w:rPr>
                <w:rFonts w:eastAsia="仿宋_GB2312" w:hint="eastAsia"/>
                <w:szCs w:val="21"/>
              </w:rPr>
              <w:t>、是否存在典当企业出借银行账户现象；</w:t>
            </w:r>
            <w:r>
              <w:rPr>
                <w:rFonts w:eastAsia="仿宋_GB2312"/>
                <w:szCs w:val="21"/>
              </w:rPr>
              <w:t>4</w:t>
            </w:r>
            <w:r>
              <w:rPr>
                <w:rFonts w:eastAsia="仿宋_GB2312" w:hint="eastAsia"/>
                <w:szCs w:val="21"/>
              </w:rPr>
              <w:t>、典当企业银行存款余额</w:t>
            </w:r>
            <w:r>
              <w:rPr>
                <w:rFonts w:ascii="仿宋_GB2312" w:eastAsia="仿宋_GB2312" w:hAnsi="宋体" w:hint="eastAsia"/>
                <w:szCs w:val="21"/>
              </w:rPr>
              <w:t>）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35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color w:val="FF000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典当企业及其分支机构是否存在私自变更或违规变更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36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典当企业法人股东是否存续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F24E1C">
        <w:trPr>
          <w:trHeight w:val="476"/>
        </w:trPr>
        <w:tc>
          <w:tcPr>
            <w:tcW w:w="499" w:type="dxa"/>
            <w:vAlign w:val="center"/>
          </w:tcPr>
          <w:p w:rsidR="00F24E1C" w:rsidRDefault="00F24E1C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37</w:t>
            </w:r>
          </w:p>
        </w:tc>
        <w:tc>
          <w:tcPr>
            <w:tcW w:w="3938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典当企业法人股东是否两家以上（含两家）、法人股东是否相对控股</w:t>
            </w:r>
          </w:p>
        </w:tc>
        <w:tc>
          <w:tcPr>
            <w:tcW w:w="722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427" w:type="dxa"/>
            <w:vAlign w:val="center"/>
          </w:tcPr>
          <w:p w:rsidR="00F24E1C" w:rsidRDefault="00F24E1C">
            <w:pPr>
              <w:spacing w:line="400" w:lineRule="exact"/>
              <w:rPr>
                <w:rFonts w:ascii="仿宋_GB2312" w:eastAsia="仿宋_GB2312" w:hAnsi="宋体"/>
                <w:szCs w:val="21"/>
              </w:rPr>
            </w:pPr>
          </w:p>
        </w:tc>
      </w:tr>
    </w:tbl>
    <w:p w:rsidR="00F24E1C" w:rsidRDefault="00F24E1C" w:rsidP="00750273">
      <w:pPr>
        <w:spacing w:line="40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注册会计师签字：</w:t>
      </w:r>
      <w:r>
        <w:rPr>
          <w:rFonts w:ascii="仿宋_GB2312" w:eastAsia="仿宋_GB2312" w:hAnsi="宋体"/>
          <w:sz w:val="28"/>
          <w:szCs w:val="28"/>
        </w:rPr>
        <w:t xml:space="preserve">            </w:t>
      </w:r>
      <w:r>
        <w:rPr>
          <w:rFonts w:ascii="仿宋_GB2312" w:eastAsia="仿宋_GB2312" w:hAnsi="宋体" w:hint="eastAsia"/>
          <w:sz w:val="28"/>
          <w:szCs w:val="28"/>
        </w:rPr>
        <w:t>市级商务主管部门监管负责人签字：</w:t>
      </w:r>
    </w:p>
    <w:p w:rsidR="00F24E1C" w:rsidRDefault="00F24E1C" w:rsidP="008E6F91">
      <w:pPr>
        <w:spacing w:line="400" w:lineRule="exact"/>
        <w:ind w:firstLineChars="1850" w:firstLine="31680"/>
        <w:rPr>
          <w:rFonts w:ascii="仿宋_GB2312" w:eastAsia="仿宋_GB2312" w:hAnsi="宋体"/>
          <w:color w:val="FF0000"/>
          <w:sz w:val="28"/>
          <w:szCs w:val="28"/>
        </w:rPr>
      </w:pPr>
    </w:p>
    <w:p w:rsidR="00F24E1C" w:rsidRDefault="00F24E1C">
      <w:pPr>
        <w:spacing w:line="400" w:lineRule="exact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注册会计师事务所盖章：</w:t>
      </w:r>
      <w:r>
        <w:rPr>
          <w:rFonts w:ascii="仿宋_GB2312" w:eastAsia="仿宋_GB2312" w:hAnsi="宋体"/>
          <w:sz w:val="28"/>
          <w:szCs w:val="28"/>
        </w:rPr>
        <w:t xml:space="preserve">                </w:t>
      </w:r>
      <w:r>
        <w:rPr>
          <w:rFonts w:ascii="仿宋_GB2312" w:eastAsia="仿宋_GB2312" w:hAnsi="宋体" w:hint="eastAsia"/>
          <w:sz w:val="28"/>
          <w:szCs w:val="28"/>
        </w:rPr>
        <w:t>市级商务主管部门盖章：</w:t>
      </w:r>
      <w:bookmarkStart w:id="0" w:name="_GoBack"/>
      <w:bookmarkEnd w:id="0"/>
    </w:p>
    <w:p w:rsidR="00F24E1C" w:rsidRPr="00BE54A5" w:rsidRDefault="00F24E1C" w:rsidP="008E6F91">
      <w:pPr>
        <w:spacing w:line="400" w:lineRule="exact"/>
        <w:ind w:firstLineChars="250" w:firstLine="31680"/>
        <w:jc w:val="left"/>
        <w:rPr>
          <w:rFonts w:ascii="仿宋_GB2312" w:eastAsia="仿宋_GB2312" w:hAnsi="宋体"/>
          <w:sz w:val="28"/>
          <w:szCs w:val="28"/>
        </w:rPr>
      </w:pPr>
    </w:p>
    <w:p w:rsidR="00F24E1C" w:rsidRDefault="00F24E1C" w:rsidP="00B74EBB">
      <w:pPr>
        <w:spacing w:line="400" w:lineRule="exact"/>
        <w:ind w:firstLineChars="250" w:firstLine="31680"/>
        <w:jc w:val="left"/>
        <w:rPr>
          <w:rFonts w:ascii="仿宋_GB2312" w:eastAsia="仿宋_GB2312" w:hAnsi="宋体"/>
          <w:color w:val="FF0000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日</w:t>
      </w:r>
      <w:r>
        <w:rPr>
          <w:rFonts w:ascii="仿宋_GB2312" w:eastAsia="仿宋_GB2312" w:hAnsi="宋体"/>
          <w:sz w:val="28"/>
          <w:szCs w:val="28"/>
        </w:rPr>
        <w:t xml:space="preserve">                             </w:t>
      </w:r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日</w:t>
      </w:r>
    </w:p>
    <w:sectPr w:rsidR="00F24E1C" w:rsidSect="00500484">
      <w:footerReference w:type="even" r:id="rId6"/>
      <w:footerReference w:type="default" r:id="rId7"/>
      <w:pgSz w:w="11906" w:h="16838"/>
      <w:pgMar w:top="1361" w:right="1474" w:bottom="1361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E1C" w:rsidRDefault="00F24E1C" w:rsidP="00500484">
      <w:r>
        <w:separator/>
      </w:r>
    </w:p>
  </w:endnote>
  <w:endnote w:type="continuationSeparator" w:id="1">
    <w:p w:rsidR="00F24E1C" w:rsidRDefault="00F24E1C" w:rsidP="00500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E1C" w:rsidRDefault="00F24E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24E1C" w:rsidRDefault="00F24E1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E1C" w:rsidRDefault="00F24E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24E1C" w:rsidRDefault="00F24E1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E1C" w:rsidRDefault="00F24E1C" w:rsidP="00500484">
      <w:r>
        <w:separator/>
      </w:r>
    </w:p>
  </w:footnote>
  <w:footnote w:type="continuationSeparator" w:id="1">
    <w:p w:rsidR="00F24E1C" w:rsidRDefault="00F24E1C" w:rsidP="005004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7B2A"/>
    <w:rsid w:val="000004BB"/>
    <w:rsid w:val="00000A6B"/>
    <w:rsid w:val="00007812"/>
    <w:rsid w:val="00010A71"/>
    <w:rsid w:val="000110F8"/>
    <w:rsid w:val="0001220A"/>
    <w:rsid w:val="00014889"/>
    <w:rsid w:val="00016051"/>
    <w:rsid w:val="00017E99"/>
    <w:rsid w:val="000228F2"/>
    <w:rsid w:val="00023413"/>
    <w:rsid w:val="000246BD"/>
    <w:rsid w:val="00031498"/>
    <w:rsid w:val="00034B72"/>
    <w:rsid w:val="00041E6B"/>
    <w:rsid w:val="0004781D"/>
    <w:rsid w:val="00051406"/>
    <w:rsid w:val="00051FA9"/>
    <w:rsid w:val="00053D83"/>
    <w:rsid w:val="000576B0"/>
    <w:rsid w:val="000612D4"/>
    <w:rsid w:val="00063497"/>
    <w:rsid w:val="000836FF"/>
    <w:rsid w:val="00086EBB"/>
    <w:rsid w:val="00094E06"/>
    <w:rsid w:val="000B4E3A"/>
    <w:rsid w:val="000B551D"/>
    <w:rsid w:val="000D4E90"/>
    <w:rsid w:val="000E0891"/>
    <w:rsid w:val="000E43C9"/>
    <w:rsid w:val="000E4457"/>
    <w:rsid w:val="000F5CDB"/>
    <w:rsid w:val="001010DB"/>
    <w:rsid w:val="001029D7"/>
    <w:rsid w:val="00104A18"/>
    <w:rsid w:val="0011148C"/>
    <w:rsid w:val="00114D92"/>
    <w:rsid w:val="001225A7"/>
    <w:rsid w:val="00122B47"/>
    <w:rsid w:val="00127586"/>
    <w:rsid w:val="00135B96"/>
    <w:rsid w:val="00136E15"/>
    <w:rsid w:val="0014080F"/>
    <w:rsid w:val="00142F39"/>
    <w:rsid w:val="0014397B"/>
    <w:rsid w:val="001518B6"/>
    <w:rsid w:val="00151A15"/>
    <w:rsid w:val="001578E6"/>
    <w:rsid w:val="00160070"/>
    <w:rsid w:val="00161FB9"/>
    <w:rsid w:val="00162676"/>
    <w:rsid w:val="001638A8"/>
    <w:rsid w:val="00163D08"/>
    <w:rsid w:val="00164581"/>
    <w:rsid w:val="001750E9"/>
    <w:rsid w:val="00177E11"/>
    <w:rsid w:val="00186080"/>
    <w:rsid w:val="00192914"/>
    <w:rsid w:val="001A2E82"/>
    <w:rsid w:val="001A3F07"/>
    <w:rsid w:val="001A4614"/>
    <w:rsid w:val="001B2830"/>
    <w:rsid w:val="001C6E5B"/>
    <w:rsid w:val="001D50B7"/>
    <w:rsid w:val="001E04F6"/>
    <w:rsid w:val="001E3E3D"/>
    <w:rsid w:val="001F28DD"/>
    <w:rsid w:val="001F2A57"/>
    <w:rsid w:val="001F2E81"/>
    <w:rsid w:val="001F5DB0"/>
    <w:rsid w:val="00201958"/>
    <w:rsid w:val="00202854"/>
    <w:rsid w:val="00212160"/>
    <w:rsid w:val="00215F5F"/>
    <w:rsid w:val="00224B01"/>
    <w:rsid w:val="00225B15"/>
    <w:rsid w:val="002267CC"/>
    <w:rsid w:val="00231D2E"/>
    <w:rsid w:val="00233B58"/>
    <w:rsid w:val="00234746"/>
    <w:rsid w:val="00241886"/>
    <w:rsid w:val="002539B2"/>
    <w:rsid w:val="0026218C"/>
    <w:rsid w:val="0026508F"/>
    <w:rsid w:val="00270257"/>
    <w:rsid w:val="00280D15"/>
    <w:rsid w:val="00281145"/>
    <w:rsid w:val="0029077C"/>
    <w:rsid w:val="00292B07"/>
    <w:rsid w:val="00293125"/>
    <w:rsid w:val="002931F3"/>
    <w:rsid w:val="002A2082"/>
    <w:rsid w:val="002A28B6"/>
    <w:rsid w:val="002B33E1"/>
    <w:rsid w:val="002B4C3C"/>
    <w:rsid w:val="002B50BC"/>
    <w:rsid w:val="002C6435"/>
    <w:rsid w:val="002E1CAF"/>
    <w:rsid w:val="002E35DE"/>
    <w:rsid w:val="002E5199"/>
    <w:rsid w:val="002E5F01"/>
    <w:rsid w:val="002F02EF"/>
    <w:rsid w:val="002F3790"/>
    <w:rsid w:val="003107D9"/>
    <w:rsid w:val="00317F3F"/>
    <w:rsid w:val="003204FD"/>
    <w:rsid w:val="003336DC"/>
    <w:rsid w:val="003402AD"/>
    <w:rsid w:val="00345C3A"/>
    <w:rsid w:val="003539F9"/>
    <w:rsid w:val="00356648"/>
    <w:rsid w:val="0036494C"/>
    <w:rsid w:val="00370BDC"/>
    <w:rsid w:val="003754CF"/>
    <w:rsid w:val="00377214"/>
    <w:rsid w:val="00383208"/>
    <w:rsid w:val="003836D1"/>
    <w:rsid w:val="0038464F"/>
    <w:rsid w:val="00391258"/>
    <w:rsid w:val="00394059"/>
    <w:rsid w:val="003C1763"/>
    <w:rsid w:val="003C31F3"/>
    <w:rsid w:val="003C4C0A"/>
    <w:rsid w:val="003C78F7"/>
    <w:rsid w:val="003D7B9C"/>
    <w:rsid w:val="003E62E9"/>
    <w:rsid w:val="003F330B"/>
    <w:rsid w:val="00401840"/>
    <w:rsid w:val="00412095"/>
    <w:rsid w:val="00420622"/>
    <w:rsid w:val="00422E34"/>
    <w:rsid w:val="00424E4B"/>
    <w:rsid w:val="004266EE"/>
    <w:rsid w:val="00437B2A"/>
    <w:rsid w:val="00442AB4"/>
    <w:rsid w:val="0045220C"/>
    <w:rsid w:val="00453D00"/>
    <w:rsid w:val="004547A2"/>
    <w:rsid w:val="004602C7"/>
    <w:rsid w:val="00462B99"/>
    <w:rsid w:val="004631A4"/>
    <w:rsid w:val="004656AC"/>
    <w:rsid w:val="004717D5"/>
    <w:rsid w:val="0047601E"/>
    <w:rsid w:val="00476178"/>
    <w:rsid w:val="004767C6"/>
    <w:rsid w:val="00481EF4"/>
    <w:rsid w:val="00483D95"/>
    <w:rsid w:val="00492206"/>
    <w:rsid w:val="00494D09"/>
    <w:rsid w:val="004A2948"/>
    <w:rsid w:val="004A33DC"/>
    <w:rsid w:val="004A7927"/>
    <w:rsid w:val="004C011A"/>
    <w:rsid w:val="004C10B1"/>
    <w:rsid w:val="004C1C36"/>
    <w:rsid w:val="004C2AE7"/>
    <w:rsid w:val="004C4CF7"/>
    <w:rsid w:val="004D5DB4"/>
    <w:rsid w:val="004D5F8D"/>
    <w:rsid w:val="004D7BC0"/>
    <w:rsid w:val="004E7519"/>
    <w:rsid w:val="004F056E"/>
    <w:rsid w:val="004F05E8"/>
    <w:rsid w:val="004F50CE"/>
    <w:rsid w:val="00500484"/>
    <w:rsid w:val="00502C31"/>
    <w:rsid w:val="00502D62"/>
    <w:rsid w:val="00506BFE"/>
    <w:rsid w:val="00507863"/>
    <w:rsid w:val="00510D96"/>
    <w:rsid w:val="005111DF"/>
    <w:rsid w:val="00523DDE"/>
    <w:rsid w:val="005256FE"/>
    <w:rsid w:val="00532540"/>
    <w:rsid w:val="005358E5"/>
    <w:rsid w:val="0054380F"/>
    <w:rsid w:val="00545FBC"/>
    <w:rsid w:val="00563A25"/>
    <w:rsid w:val="00565DFA"/>
    <w:rsid w:val="00567C39"/>
    <w:rsid w:val="00570703"/>
    <w:rsid w:val="00575D38"/>
    <w:rsid w:val="00586C43"/>
    <w:rsid w:val="005A377B"/>
    <w:rsid w:val="005A49BD"/>
    <w:rsid w:val="005A6B6A"/>
    <w:rsid w:val="005B2887"/>
    <w:rsid w:val="005B4086"/>
    <w:rsid w:val="005B7DC5"/>
    <w:rsid w:val="005C3323"/>
    <w:rsid w:val="005D1DA5"/>
    <w:rsid w:val="005D3BA2"/>
    <w:rsid w:val="005D3F90"/>
    <w:rsid w:val="005F5921"/>
    <w:rsid w:val="00631A80"/>
    <w:rsid w:val="00633555"/>
    <w:rsid w:val="00634EA3"/>
    <w:rsid w:val="006443D9"/>
    <w:rsid w:val="00650B6E"/>
    <w:rsid w:val="006550B5"/>
    <w:rsid w:val="00656C50"/>
    <w:rsid w:val="00663B32"/>
    <w:rsid w:val="00665065"/>
    <w:rsid w:val="00666610"/>
    <w:rsid w:val="00673601"/>
    <w:rsid w:val="00673FCC"/>
    <w:rsid w:val="00677D0B"/>
    <w:rsid w:val="00680EDA"/>
    <w:rsid w:val="00695FB4"/>
    <w:rsid w:val="006A1FA0"/>
    <w:rsid w:val="006B55D9"/>
    <w:rsid w:val="006B7047"/>
    <w:rsid w:val="006C0901"/>
    <w:rsid w:val="006E05F2"/>
    <w:rsid w:val="006F4C1F"/>
    <w:rsid w:val="006F7609"/>
    <w:rsid w:val="00702889"/>
    <w:rsid w:val="007065C8"/>
    <w:rsid w:val="00706956"/>
    <w:rsid w:val="00707568"/>
    <w:rsid w:val="00727C76"/>
    <w:rsid w:val="0073422B"/>
    <w:rsid w:val="0073628E"/>
    <w:rsid w:val="00742404"/>
    <w:rsid w:val="00750273"/>
    <w:rsid w:val="00750F7A"/>
    <w:rsid w:val="00751466"/>
    <w:rsid w:val="00754284"/>
    <w:rsid w:val="007608B0"/>
    <w:rsid w:val="00766889"/>
    <w:rsid w:val="007708F8"/>
    <w:rsid w:val="007868BE"/>
    <w:rsid w:val="0079154D"/>
    <w:rsid w:val="00793138"/>
    <w:rsid w:val="0079351E"/>
    <w:rsid w:val="00793F5D"/>
    <w:rsid w:val="007962C8"/>
    <w:rsid w:val="007A70D1"/>
    <w:rsid w:val="007B47E8"/>
    <w:rsid w:val="007B47F1"/>
    <w:rsid w:val="007C1CC7"/>
    <w:rsid w:val="007D0628"/>
    <w:rsid w:val="007E25CE"/>
    <w:rsid w:val="00801EF5"/>
    <w:rsid w:val="00802174"/>
    <w:rsid w:val="00805A7B"/>
    <w:rsid w:val="00806709"/>
    <w:rsid w:val="0081335A"/>
    <w:rsid w:val="008177E6"/>
    <w:rsid w:val="00825C7C"/>
    <w:rsid w:val="00833645"/>
    <w:rsid w:val="00836E61"/>
    <w:rsid w:val="00845351"/>
    <w:rsid w:val="00845EE6"/>
    <w:rsid w:val="00850B3E"/>
    <w:rsid w:val="00851740"/>
    <w:rsid w:val="00852CFC"/>
    <w:rsid w:val="0086204B"/>
    <w:rsid w:val="00867ECC"/>
    <w:rsid w:val="008737B3"/>
    <w:rsid w:val="0087471A"/>
    <w:rsid w:val="00876A74"/>
    <w:rsid w:val="008803F5"/>
    <w:rsid w:val="00880A8F"/>
    <w:rsid w:val="00885909"/>
    <w:rsid w:val="00885E57"/>
    <w:rsid w:val="00893217"/>
    <w:rsid w:val="0089750C"/>
    <w:rsid w:val="00897927"/>
    <w:rsid w:val="008C61C0"/>
    <w:rsid w:val="008C66AE"/>
    <w:rsid w:val="008C69E8"/>
    <w:rsid w:val="008C6B9C"/>
    <w:rsid w:val="008D18A1"/>
    <w:rsid w:val="008D44AD"/>
    <w:rsid w:val="008E6F91"/>
    <w:rsid w:val="008F2768"/>
    <w:rsid w:val="008F7426"/>
    <w:rsid w:val="00922946"/>
    <w:rsid w:val="0092754D"/>
    <w:rsid w:val="00930914"/>
    <w:rsid w:val="009328E5"/>
    <w:rsid w:val="00951B0D"/>
    <w:rsid w:val="00954C1C"/>
    <w:rsid w:val="0095645C"/>
    <w:rsid w:val="00956483"/>
    <w:rsid w:val="00970421"/>
    <w:rsid w:val="009816F6"/>
    <w:rsid w:val="00985EC9"/>
    <w:rsid w:val="0099438B"/>
    <w:rsid w:val="00996778"/>
    <w:rsid w:val="009A0578"/>
    <w:rsid w:val="009A1C4A"/>
    <w:rsid w:val="009B4857"/>
    <w:rsid w:val="009C69A5"/>
    <w:rsid w:val="009D1AD2"/>
    <w:rsid w:val="009E42BC"/>
    <w:rsid w:val="009F33B3"/>
    <w:rsid w:val="009F47F0"/>
    <w:rsid w:val="00A00BE0"/>
    <w:rsid w:val="00A01C70"/>
    <w:rsid w:val="00A101F7"/>
    <w:rsid w:val="00A134FF"/>
    <w:rsid w:val="00A14607"/>
    <w:rsid w:val="00A20A56"/>
    <w:rsid w:val="00A25E6E"/>
    <w:rsid w:val="00A27EFA"/>
    <w:rsid w:val="00A45B6B"/>
    <w:rsid w:val="00A50305"/>
    <w:rsid w:val="00A53432"/>
    <w:rsid w:val="00A619A7"/>
    <w:rsid w:val="00A7139C"/>
    <w:rsid w:val="00A742C5"/>
    <w:rsid w:val="00A82FA0"/>
    <w:rsid w:val="00A84132"/>
    <w:rsid w:val="00A9195A"/>
    <w:rsid w:val="00A96ACC"/>
    <w:rsid w:val="00AA0475"/>
    <w:rsid w:val="00AA12FD"/>
    <w:rsid w:val="00AA1BE2"/>
    <w:rsid w:val="00AA4902"/>
    <w:rsid w:val="00AB12B5"/>
    <w:rsid w:val="00AB200F"/>
    <w:rsid w:val="00AB2632"/>
    <w:rsid w:val="00AC36C3"/>
    <w:rsid w:val="00AD2DC4"/>
    <w:rsid w:val="00AF3532"/>
    <w:rsid w:val="00AF40EC"/>
    <w:rsid w:val="00AF6BCB"/>
    <w:rsid w:val="00B028C6"/>
    <w:rsid w:val="00B02F00"/>
    <w:rsid w:val="00B17768"/>
    <w:rsid w:val="00B2236B"/>
    <w:rsid w:val="00B22BD9"/>
    <w:rsid w:val="00B230E9"/>
    <w:rsid w:val="00B25CCA"/>
    <w:rsid w:val="00B34643"/>
    <w:rsid w:val="00B37A8F"/>
    <w:rsid w:val="00B60090"/>
    <w:rsid w:val="00B61B1C"/>
    <w:rsid w:val="00B635A3"/>
    <w:rsid w:val="00B71B7F"/>
    <w:rsid w:val="00B74EBB"/>
    <w:rsid w:val="00B82593"/>
    <w:rsid w:val="00B87FED"/>
    <w:rsid w:val="00B917FB"/>
    <w:rsid w:val="00B92953"/>
    <w:rsid w:val="00BB040F"/>
    <w:rsid w:val="00BB0F76"/>
    <w:rsid w:val="00BB182A"/>
    <w:rsid w:val="00BC0812"/>
    <w:rsid w:val="00BC1B70"/>
    <w:rsid w:val="00BC39A0"/>
    <w:rsid w:val="00BC44BC"/>
    <w:rsid w:val="00BC4B82"/>
    <w:rsid w:val="00BD44C3"/>
    <w:rsid w:val="00BE0B04"/>
    <w:rsid w:val="00BE54A5"/>
    <w:rsid w:val="00BF4652"/>
    <w:rsid w:val="00BF5A30"/>
    <w:rsid w:val="00C014D9"/>
    <w:rsid w:val="00C12BB3"/>
    <w:rsid w:val="00C23AD5"/>
    <w:rsid w:val="00C25C8A"/>
    <w:rsid w:val="00C32490"/>
    <w:rsid w:val="00C40842"/>
    <w:rsid w:val="00C40F94"/>
    <w:rsid w:val="00C46409"/>
    <w:rsid w:val="00C53990"/>
    <w:rsid w:val="00C53AE4"/>
    <w:rsid w:val="00C53D41"/>
    <w:rsid w:val="00C55DFA"/>
    <w:rsid w:val="00C625E1"/>
    <w:rsid w:val="00C65AA9"/>
    <w:rsid w:val="00C6794A"/>
    <w:rsid w:val="00C72410"/>
    <w:rsid w:val="00C7462A"/>
    <w:rsid w:val="00C7692B"/>
    <w:rsid w:val="00C8151D"/>
    <w:rsid w:val="00C8280C"/>
    <w:rsid w:val="00C83448"/>
    <w:rsid w:val="00C85E73"/>
    <w:rsid w:val="00C86608"/>
    <w:rsid w:val="00C920D6"/>
    <w:rsid w:val="00CA2519"/>
    <w:rsid w:val="00CB133D"/>
    <w:rsid w:val="00CB2C69"/>
    <w:rsid w:val="00CC1AD9"/>
    <w:rsid w:val="00CC4A3F"/>
    <w:rsid w:val="00CC5FE9"/>
    <w:rsid w:val="00CE5054"/>
    <w:rsid w:val="00CE74E9"/>
    <w:rsid w:val="00CF01E8"/>
    <w:rsid w:val="00CF1917"/>
    <w:rsid w:val="00CF3EAD"/>
    <w:rsid w:val="00D00D5B"/>
    <w:rsid w:val="00D03309"/>
    <w:rsid w:val="00D126F6"/>
    <w:rsid w:val="00D13096"/>
    <w:rsid w:val="00D139B6"/>
    <w:rsid w:val="00D141AF"/>
    <w:rsid w:val="00D16ED7"/>
    <w:rsid w:val="00D22471"/>
    <w:rsid w:val="00D3766E"/>
    <w:rsid w:val="00D37F73"/>
    <w:rsid w:val="00D41E63"/>
    <w:rsid w:val="00D55B68"/>
    <w:rsid w:val="00D60E76"/>
    <w:rsid w:val="00D65ED1"/>
    <w:rsid w:val="00D67F72"/>
    <w:rsid w:val="00D7102A"/>
    <w:rsid w:val="00D81E47"/>
    <w:rsid w:val="00DA2DE1"/>
    <w:rsid w:val="00DA61E8"/>
    <w:rsid w:val="00DA6F65"/>
    <w:rsid w:val="00DB6A59"/>
    <w:rsid w:val="00DC31C2"/>
    <w:rsid w:val="00DC6BC5"/>
    <w:rsid w:val="00DD08BF"/>
    <w:rsid w:val="00DD266A"/>
    <w:rsid w:val="00DD3AAB"/>
    <w:rsid w:val="00DD3E0C"/>
    <w:rsid w:val="00DD7BF2"/>
    <w:rsid w:val="00DE21CB"/>
    <w:rsid w:val="00DE2784"/>
    <w:rsid w:val="00DE2BAC"/>
    <w:rsid w:val="00DE6BB9"/>
    <w:rsid w:val="00DE7D46"/>
    <w:rsid w:val="00DF1C4B"/>
    <w:rsid w:val="00E06069"/>
    <w:rsid w:val="00E0736E"/>
    <w:rsid w:val="00E07FFC"/>
    <w:rsid w:val="00E13A7E"/>
    <w:rsid w:val="00E16146"/>
    <w:rsid w:val="00E22CCF"/>
    <w:rsid w:val="00E23510"/>
    <w:rsid w:val="00E25306"/>
    <w:rsid w:val="00E27ADF"/>
    <w:rsid w:val="00E30CAB"/>
    <w:rsid w:val="00E36FBA"/>
    <w:rsid w:val="00E40DF2"/>
    <w:rsid w:val="00E53E50"/>
    <w:rsid w:val="00E541C5"/>
    <w:rsid w:val="00E5503A"/>
    <w:rsid w:val="00E56777"/>
    <w:rsid w:val="00E674AA"/>
    <w:rsid w:val="00E67E99"/>
    <w:rsid w:val="00E749FF"/>
    <w:rsid w:val="00E835BF"/>
    <w:rsid w:val="00E85370"/>
    <w:rsid w:val="00E871A9"/>
    <w:rsid w:val="00EA413A"/>
    <w:rsid w:val="00EA441B"/>
    <w:rsid w:val="00EA72A7"/>
    <w:rsid w:val="00EA7D60"/>
    <w:rsid w:val="00EB41ED"/>
    <w:rsid w:val="00EB7DA8"/>
    <w:rsid w:val="00ED22BE"/>
    <w:rsid w:val="00ED3B84"/>
    <w:rsid w:val="00ED538A"/>
    <w:rsid w:val="00EE7BBF"/>
    <w:rsid w:val="00EF0FB1"/>
    <w:rsid w:val="00EF1B38"/>
    <w:rsid w:val="00EF243F"/>
    <w:rsid w:val="00EF246B"/>
    <w:rsid w:val="00F00CD6"/>
    <w:rsid w:val="00F019A6"/>
    <w:rsid w:val="00F100D3"/>
    <w:rsid w:val="00F10399"/>
    <w:rsid w:val="00F24E1C"/>
    <w:rsid w:val="00F32766"/>
    <w:rsid w:val="00F40B19"/>
    <w:rsid w:val="00F474E1"/>
    <w:rsid w:val="00F56AE5"/>
    <w:rsid w:val="00F65258"/>
    <w:rsid w:val="00F65F38"/>
    <w:rsid w:val="00F705E1"/>
    <w:rsid w:val="00F71024"/>
    <w:rsid w:val="00F822ED"/>
    <w:rsid w:val="00F86049"/>
    <w:rsid w:val="00F86582"/>
    <w:rsid w:val="00F904CC"/>
    <w:rsid w:val="00F92416"/>
    <w:rsid w:val="00FA2EE9"/>
    <w:rsid w:val="00FA5847"/>
    <w:rsid w:val="00FB4E41"/>
    <w:rsid w:val="00FB52C3"/>
    <w:rsid w:val="00FC3C12"/>
    <w:rsid w:val="00FC4E2C"/>
    <w:rsid w:val="00FD427C"/>
    <w:rsid w:val="00FD4A85"/>
    <w:rsid w:val="0F856685"/>
    <w:rsid w:val="1B7D4727"/>
    <w:rsid w:val="5A7D1C84"/>
    <w:rsid w:val="60F80E8C"/>
    <w:rsid w:val="74817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0484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rsid w:val="00500484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500484"/>
    <w:rPr>
      <w:rFonts w:ascii="宋体"/>
      <w:kern w:val="2"/>
      <w:sz w:val="18"/>
    </w:rPr>
  </w:style>
  <w:style w:type="paragraph" w:styleId="BodyText">
    <w:name w:val="Body Text"/>
    <w:basedOn w:val="Normal"/>
    <w:link w:val="BodyTextChar"/>
    <w:uiPriority w:val="99"/>
    <w:rsid w:val="00500484"/>
    <w:pPr>
      <w:spacing w:after="120"/>
    </w:pPr>
    <w:rPr>
      <w:kern w:val="0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00484"/>
    <w:rPr>
      <w:sz w:val="24"/>
    </w:rPr>
  </w:style>
  <w:style w:type="paragraph" w:styleId="BodyTextIndent">
    <w:name w:val="Body Text Indent"/>
    <w:basedOn w:val="Normal"/>
    <w:link w:val="BodyTextIndentChar"/>
    <w:uiPriority w:val="99"/>
    <w:rsid w:val="00500484"/>
    <w:pPr>
      <w:ind w:firstLineChars="240" w:firstLine="720"/>
    </w:pPr>
    <w:rPr>
      <w:kern w:val="0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00484"/>
    <w:rPr>
      <w:sz w:val="24"/>
    </w:rPr>
  </w:style>
  <w:style w:type="paragraph" w:styleId="Date">
    <w:name w:val="Date"/>
    <w:basedOn w:val="Normal"/>
    <w:next w:val="Normal"/>
    <w:link w:val="DateChar"/>
    <w:uiPriority w:val="99"/>
    <w:rsid w:val="00500484"/>
    <w:pPr>
      <w:ind w:leftChars="2500" w:left="100"/>
    </w:pPr>
    <w:rPr>
      <w:kern w:val="0"/>
      <w:sz w:val="24"/>
    </w:r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500484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500484"/>
    <w:rPr>
      <w:kern w:val="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0484"/>
    <w:rPr>
      <w:sz w:val="16"/>
    </w:rPr>
  </w:style>
  <w:style w:type="paragraph" w:styleId="Footer">
    <w:name w:val="footer"/>
    <w:basedOn w:val="Normal"/>
    <w:link w:val="FooterChar"/>
    <w:uiPriority w:val="99"/>
    <w:rsid w:val="0050048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00484"/>
    <w:rPr>
      <w:sz w:val="18"/>
    </w:rPr>
  </w:style>
  <w:style w:type="paragraph" w:styleId="Header">
    <w:name w:val="header"/>
    <w:basedOn w:val="Normal"/>
    <w:link w:val="HeaderChar"/>
    <w:uiPriority w:val="99"/>
    <w:rsid w:val="005004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00484"/>
    <w:rPr>
      <w:sz w:val="18"/>
    </w:rPr>
  </w:style>
  <w:style w:type="character" w:styleId="PageNumber">
    <w:name w:val="page number"/>
    <w:basedOn w:val="DefaultParagraphFont"/>
    <w:uiPriority w:val="99"/>
    <w:rsid w:val="00500484"/>
    <w:rPr>
      <w:rFonts w:cs="Times New Roman"/>
    </w:rPr>
  </w:style>
  <w:style w:type="character" w:styleId="Hyperlink">
    <w:name w:val="Hyperlink"/>
    <w:basedOn w:val="DefaultParagraphFont"/>
    <w:uiPriority w:val="99"/>
    <w:rsid w:val="00500484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500484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31">
    <w:name w:val="style31"/>
    <w:uiPriority w:val="99"/>
    <w:rsid w:val="00500484"/>
    <w:rPr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180</Words>
  <Characters>1026</Characters>
  <Application>Microsoft Office Outlook</Application>
  <DocSecurity>0</DocSecurity>
  <Lines>0</Lines>
  <Paragraphs>0</Paragraphs>
  <ScaleCrop>false</ScaleCrop>
  <Company> yg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北京市商务委员会关于开展</dc:title>
  <dc:subject/>
  <dc:creator>suny</dc:creator>
  <cp:keywords/>
  <dc:description/>
  <cp:lastModifiedBy>张群</cp:lastModifiedBy>
  <cp:revision>4</cp:revision>
  <cp:lastPrinted>2015-01-14T06:19:00Z</cp:lastPrinted>
  <dcterms:created xsi:type="dcterms:W3CDTF">2015-01-21T02:51:00Z</dcterms:created>
  <dcterms:modified xsi:type="dcterms:W3CDTF">2017-01-06T02:36:00Z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